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b/>
          <w:bCs/>
          <w:color w:val="auto"/>
          <w:sz w:val="72"/>
          <w:szCs w:val="72"/>
          <w:highlight w:val="none"/>
        </w:rPr>
      </w:pPr>
    </w:p>
    <w:p>
      <w:pPr>
        <w:pStyle w:val="38"/>
        <w:pageBreakBefore w:val="0"/>
        <w:kinsoku/>
        <w:overflowPunct/>
        <w:bidi w:val="0"/>
        <w:spacing w:line="360" w:lineRule="auto"/>
        <w:rPr>
          <w:rFonts w:hint="eastAsia"/>
          <w:highlight w:val="none"/>
        </w:rPr>
      </w:pPr>
    </w:p>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b/>
          <w:bCs/>
          <w:color w:val="auto"/>
          <w:sz w:val="84"/>
          <w:highlight w:val="none"/>
        </w:rPr>
      </w:pPr>
    </w:p>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b/>
          <w:bCs/>
          <w:color w:val="auto"/>
          <w:sz w:val="84"/>
          <w:highlight w:val="none"/>
        </w:rPr>
      </w:pPr>
      <w:r>
        <w:rPr>
          <w:rFonts w:hint="eastAsia" w:ascii="宋体" w:hAnsi="宋体" w:eastAsia="宋体" w:cs="宋体"/>
          <w:b/>
          <w:bCs/>
          <w:color w:val="auto"/>
          <w:sz w:val="84"/>
          <w:highlight w:val="none"/>
        </w:rPr>
        <w:t>招 标 文 件</w:t>
      </w:r>
    </w:p>
    <w:p>
      <w:pPr>
        <w:keepNext w:val="0"/>
        <w:keepLines w:val="0"/>
        <w:pageBreakBefore w:val="0"/>
        <w:kinsoku/>
        <w:overflowPunct/>
        <w:autoSpaceDE/>
        <w:autoSpaceDN/>
        <w:bidi w:val="0"/>
        <w:spacing w:line="360" w:lineRule="auto"/>
        <w:ind w:firstLine="1946" w:firstLineChars="646"/>
        <w:textAlignment w:val="auto"/>
        <w:outlineLvl w:val="9"/>
        <w:rPr>
          <w:rFonts w:hint="eastAsia" w:ascii="宋体" w:hAnsi="宋体" w:eastAsia="宋体" w:cs="宋体"/>
          <w:b/>
          <w:color w:val="auto"/>
          <w:sz w:val="30"/>
          <w:szCs w:val="30"/>
          <w:highlight w:val="none"/>
        </w:rPr>
      </w:pPr>
    </w:p>
    <w:p>
      <w:pPr>
        <w:keepNext w:val="0"/>
        <w:keepLines w:val="0"/>
        <w:pageBreakBefore w:val="0"/>
        <w:kinsoku/>
        <w:overflowPunct/>
        <w:autoSpaceDE/>
        <w:autoSpaceDN/>
        <w:bidi w:val="0"/>
        <w:spacing w:line="360" w:lineRule="auto"/>
        <w:ind w:firstLine="1946" w:firstLineChars="646"/>
        <w:textAlignment w:val="auto"/>
        <w:outlineLvl w:val="9"/>
        <w:rPr>
          <w:rFonts w:hint="eastAsia" w:ascii="宋体" w:hAnsi="宋体" w:eastAsia="宋体" w:cs="宋体"/>
          <w:b/>
          <w:color w:val="auto"/>
          <w:sz w:val="30"/>
          <w:szCs w:val="30"/>
          <w:highlight w:val="none"/>
        </w:rPr>
      </w:pPr>
    </w:p>
    <w:p>
      <w:pPr>
        <w:keepNext w:val="0"/>
        <w:keepLines w:val="0"/>
        <w:pageBreakBefore w:val="0"/>
        <w:kinsoku/>
        <w:overflowPunct/>
        <w:autoSpaceDE/>
        <w:autoSpaceDN/>
        <w:bidi w:val="0"/>
        <w:spacing w:line="360" w:lineRule="auto"/>
        <w:ind w:firstLine="1946" w:firstLineChars="646"/>
        <w:textAlignment w:val="auto"/>
        <w:outlineLvl w:val="9"/>
        <w:rPr>
          <w:rFonts w:hint="eastAsia" w:ascii="宋体" w:hAnsi="宋体" w:eastAsia="宋体" w:cs="宋体"/>
          <w:b/>
          <w:color w:val="auto"/>
          <w:sz w:val="30"/>
          <w:szCs w:val="30"/>
          <w:highlight w:val="none"/>
        </w:rPr>
      </w:pPr>
    </w:p>
    <w:p>
      <w:pPr>
        <w:keepNext w:val="0"/>
        <w:keepLines w:val="0"/>
        <w:pageBreakBefore w:val="0"/>
        <w:kinsoku/>
        <w:overflowPunct/>
        <w:autoSpaceDE/>
        <w:autoSpaceDN/>
        <w:bidi w:val="0"/>
        <w:spacing w:line="360" w:lineRule="auto"/>
        <w:ind w:firstLine="1946" w:firstLineChars="646"/>
        <w:textAlignment w:val="auto"/>
        <w:outlineLvl w:val="9"/>
        <w:rPr>
          <w:rFonts w:hint="eastAsia" w:ascii="宋体" w:hAnsi="宋体" w:eastAsia="宋体" w:cs="宋体"/>
          <w:b/>
          <w:color w:val="auto"/>
          <w:sz w:val="30"/>
          <w:szCs w:val="30"/>
          <w:highlight w:val="none"/>
        </w:rPr>
      </w:pP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招标编号：FJTH-6020200426</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项目名称：福建省</w:t>
      </w:r>
      <w:r>
        <w:rPr>
          <w:rFonts w:hint="eastAsia" w:ascii="宋体" w:hAnsi="宋体" w:cs="宋体"/>
          <w:b/>
          <w:color w:val="auto"/>
          <w:sz w:val="30"/>
          <w:szCs w:val="30"/>
          <w:highlight w:val="none"/>
          <w:lang w:eastAsia="zh-CN"/>
        </w:rPr>
        <w:t>部分卫生院</w:t>
      </w:r>
      <w:r>
        <w:rPr>
          <w:rFonts w:hint="eastAsia" w:ascii="宋体" w:hAnsi="宋体" w:eastAsia="宋体" w:cs="宋体"/>
          <w:b/>
          <w:color w:val="auto"/>
          <w:sz w:val="30"/>
          <w:szCs w:val="30"/>
          <w:highlight w:val="none"/>
        </w:rPr>
        <w:t>新冠肺炎</w:t>
      </w:r>
      <w:r>
        <w:rPr>
          <w:rFonts w:hint="eastAsia" w:ascii="宋体" w:hAnsi="宋体" w:cs="宋体"/>
          <w:b/>
          <w:color w:val="auto"/>
          <w:sz w:val="30"/>
          <w:szCs w:val="30"/>
          <w:highlight w:val="none"/>
          <w:lang w:eastAsia="zh-CN"/>
        </w:rPr>
        <w:t>疫情</w:t>
      </w:r>
      <w:r>
        <w:rPr>
          <w:rFonts w:hint="eastAsia" w:ascii="宋体" w:hAnsi="宋体" w:eastAsia="宋体" w:cs="宋体"/>
          <w:b/>
          <w:color w:val="auto"/>
          <w:sz w:val="30"/>
          <w:szCs w:val="30"/>
          <w:highlight w:val="none"/>
        </w:rPr>
        <w:t>防治</w:t>
      </w:r>
      <w:r>
        <w:rPr>
          <w:rFonts w:hint="eastAsia" w:ascii="宋体" w:hAnsi="宋体" w:cs="宋体"/>
          <w:b/>
          <w:color w:val="auto"/>
          <w:sz w:val="30"/>
          <w:szCs w:val="30"/>
          <w:highlight w:val="none"/>
          <w:lang w:eastAsia="zh-CN"/>
        </w:rPr>
        <w:t>转运</w:t>
      </w:r>
      <w:r>
        <w:rPr>
          <w:rFonts w:hint="eastAsia" w:ascii="宋体" w:hAnsi="宋体" w:eastAsia="宋体" w:cs="宋体"/>
          <w:b/>
          <w:color w:val="auto"/>
          <w:sz w:val="30"/>
          <w:szCs w:val="30"/>
          <w:highlight w:val="none"/>
        </w:rPr>
        <w:t>救护车采购项目</w:t>
      </w:r>
    </w:p>
    <w:p>
      <w:pPr>
        <w:pStyle w:val="19"/>
        <w:keepNext w:val="0"/>
        <w:keepLines w:val="0"/>
        <w:pageBreakBefore w:val="0"/>
        <w:kinsoku/>
        <w:overflowPunct/>
        <w:autoSpaceDE/>
        <w:autoSpaceDN/>
        <w:bidi w:val="0"/>
        <w:spacing w:line="360" w:lineRule="auto"/>
        <w:ind w:left="3426" w:leftChars="920" w:hanging="1494" w:hangingChars="496"/>
        <w:textAlignment w:val="auto"/>
        <w:outlineLvl w:val="9"/>
        <w:rPr>
          <w:rFonts w:hint="eastAsia" w:ascii="宋体" w:hAnsi="宋体" w:eastAsia="宋体" w:cs="宋体"/>
          <w:b/>
          <w:color w:val="auto"/>
          <w:sz w:val="30"/>
          <w:szCs w:val="30"/>
          <w:highlight w:val="none"/>
        </w:rPr>
      </w:pPr>
    </w:p>
    <w:p>
      <w:pPr>
        <w:pStyle w:val="19"/>
        <w:keepNext w:val="0"/>
        <w:keepLines w:val="0"/>
        <w:pageBreakBefore w:val="0"/>
        <w:kinsoku/>
        <w:overflowPunct/>
        <w:autoSpaceDE/>
        <w:autoSpaceDN/>
        <w:bidi w:val="0"/>
        <w:spacing w:line="360" w:lineRule="auto"/>
        <w:ind w:left="3426" w:leftChars="920" w:hanging="1494" w:hangingChars="496"/>
        <w:textAlignment w:val="auto"/>
        <w:outlineLvl w:val="9"/>
        <w:rPr>
          <w:rFonts w:hint="eastAsia" w:ascii="宋体" w:hAnsi="宋体" w:eastAsia="宋体" w:cs="宋体"/>
          <w:b/>
          <w:color w:val="auto"/>
          <w:sz w:val="30"/>
          <w:szCs w:val="30"/>
          <w:highlight w:val="none"/>
        </w:rPr>
      </w:pPr>
    </w:p>
    <w:p>
      <w:pPr>
        <w:pStyle w:val="19"/>
        <w:keepNext w:val="0"/>
        <w:keepLines w:val="0"/>
        <w:pageBreakBefore w:val="0"/>
        <w:kinsoku/>
        <w:overflowPunct/>
        <w:autoSpaceDE/>
        <w:autoSpaceDN/>
        <w:bidi w:val="0"/>
        <w:spacing w:line="360" w:lineRule="auto"/>
        <w:ind w:left="3426" w:leftChars="920" w:hanging="1494" w:hangingChars="496"/>
        <w:textAlignment w:val="auto"/>
        <w:outlineLvl w:val="9"/>
        <w:rPr>
          <w:rFonts w:hint="eastAsia" w:ascii="宋体" w:hAnsi="宋体" w:eastAsia="宋体" w:cs="宋体"/>
          <w:b/>
          <w:color w:val="auto"/>
          <w:sz w:val="30"/>
          <w:szCs w:val="30"/>
          <w:highlight w:val="none"/>
        </w:rPr>
      </w:pPr>
    </w:p>
    <w:p>
      <w:pPr>
        <w:pStyle w:val="19"/>
        <w:keepNext w:val="0"/>
        <w:keepLines w:val="0"/>
        <w:pageBreakBefore w:val="0"/>
        <w:kinsoku/>
        <w:overflowPunct/>
        <w:autoSpaceDE/>
        <w:autoSpaceDN/>
        <w:bidi w:val="0"/>
        <w:spacing w:line="360" w:lineRule="auto"/>
        <w:ind w:left="3426" w:leftChars="920" w:hanging="1494" w:hangingChars="496"/>
        <w:textAlignment w:val="auto"/>
        <w:outlineLvl w:val="9"/>
        <w:rPr>
          <w:rFonts w:hint="eastAsia" w:ascii="宋体" w:hAnsi="宋体" w:eastAsia="宋体" w:cs="宋体"/>
          <w:b/>
          <w:color w:val="auto"/>
          <w:sz w:val="30"/>
          <w:szCs w:val="30"/>
          <w:highlight w:val="none"/>
        </w:rPr>
      </w:pPr>
    </w:p>
    <w:p>
      <w:pPr>
        <w:pStyle w:val="19"/>
        <w:keepNext w:val="0"/>
        <w:keepLines w:val="0"/>
        <w:pageBreakBefore w:val="0"/>
        <w:kinsoku/>
        <w:overflowPunct/>
        <w:autoSpaceDE/>
        <w:autoSpaceDN/>
        <w:bidi w:val="0"/>
        <w:spacing w:line="360" w:lineRule="auto"/>
        <w:ind w:left="3426" w:leftChars="920" w:hanging="1494" w:hangingChars="496"/>
        <w:textAlignment w:val="auto"/>
        <w:outlineLvl w:val="9"/>
        <w:rPr>
          <w:rFonts w:hint="eastAsia" w:ascii="宋体" w:hAnsi="宋体" w:eastAsia="宋体" w:cs="宋体"/>
          <w:b/>
          <w:color w:val="auto"/>
          <w:sz w:val="30"/>
          <w:szCs w:val="30"/>
          <w:highlight w:val="none"/>
        </w:rPr>
      </w:pPr>
    </w:p>
    <w:p>
      <w:pPr>
        <w:pStyle w:val="19"/>
        <w:keepNext w:val="0"/>
        <w:keepLines w:val="0"/>
        <w:pageBreakBefore w:val="0"/>
        <w:kinsoku/>
        <w:overflowPunct/>
        <w:autoSpaceDE/>
        <w:autoSpaceDN/>
        <w:bidi w:val="0"/>
        <w:spacing w:line="360" w:lineRule="auto"/>
        <w:ind w:left="3426" w:leftChars="920" w:hanging="1494" w:hangingChars="496"/>
        <w:textAlignment w:val="auto"/>
        <w:outlineLvl w:val="9"/>
        <w:rPr>
          <w:rFonts w:hint="eastAsia" w:ascii="宋体" w:hAnsi="宋体" w:eastAsia="宋体" w:cs="宋体"/>
          <w:b/>
          <w:color w:val="auto"/>
          <w:sz w:val="30"/>
          <w:szCs w:val="30"/>
          <w:highlight w:val="none"/>
        </w:rPr>
      </w:pPr>
    </w:p>
    <w:p>
      <w:pPr>
        <w:pStyle w:val="22"/>
        <w:pageBreakBefore w:val="0"/>
        <w:kinsoku/>
        <w:overflowPunct/>
        <w:bidi w:val="0"/>
        <w:spacing w:line="360" w:lineRule="auto"/>
        <w:ind w:left="0" w:leftChars="0" w:firstLine="1258" w:firstLineChars="419"/>
        <w:jc w:val="both"/>
        <w:rPr>
          <w:rFonts w:hint="eastAsia" w:ascii="宋体" w:hAnsi="宋体" w:eastAsia="宋体" w:cs="宋体"/>
          <w:b/>
          <w:bCs/>
          <w:color w:val="auto"/>
          <w:sz w:val="30"/>
          <w:szCs w:val="30"/>
          <w:highlight w:val="none"/>
        </w:rPr>
      </w:pPr>
      <w:r>
        <w:rPr>
          <w:rFonts w:hint="eastAsia" w:ascii="宋体" w:hAnsi="宋体" w:cs="宋体"/>
          <w:b/>
          <w:color w:val="auto"/>
          <w:sz w:val="30"/>
          <w:szCs w:val="30"/>
          <w:highlight w:val="none"/>
          <w:lang w:eastAsia="zh-CN"/>
        </w:rPr>
        <w:t>采购人</w:t>
      </w:r>
      <w:r>
        <w:rPr>
          <w:rFonts w:hint="eastAsia" w:ascii="宋体" w:hAnsi="宋体" w:eastAsia="宋体" w:cs="宋体"/>
          <w:b/>
          <w:color w:val="auto"/>
          <w:sz w:val="30"/>
          <w:szCs w:val="30"/>
          <w:highlight w:val="none"/>
        </w:rPr>
        <w:t>：</w:t>
      </w:r>
      <w:r>
        <w:rPr>
          <w:rFonts w:hint="eastAsia"/>
          <w:b/>
          <w:sz w:val="32"/>
          <w:szCs w:val="32"/>
          <w:highlight w:val="none"/>
        </w:rPr>
        <w:t>福建省卫生健康委员会</w:t>
      </w:r>
      <w:r>
        <w:rPr>
          <w:rFonts w:hint="eastAsia" w:ascii="宋体" w:hAnsi="宋体" w:eastAsia="宋体" w:cs="宋体"/>
          <w:b/>
          <w:bCs/>
          <w:color w:val="auto"/>
          <w:sz w:val="30"/>
          <w:szCs w:val="30"/>
          <w:highlight w:val="none"/>
        </w:rPr>
        <w:t>(盖章)</w:t>
      </w:r>
    </w:p>
    <w:p>
      <w:pPr>
        <w:keepNext w:val="0"/>
        <w:keepLines w:val="0"/>
        <w:pageBreakBefore w:val="0"/>
        <w:kinsoku/>
        <w:overflowPunct/>
        <w:autoSpaceDE/>
        <w:autoSpaceDN/>
        <w:bidi w:val="0"/>
        <w:spacing w:line="360" w:lineRule="auto"/>
        <w:ind w:left="0" w:leftChars="0" w:firstLine="0" w:firstLineChars="0"/>
        <w:jc w:val="center"/>
        <w:textAlignment w:val="auto"/>
        <w:outlineLvl w:val="9"/>
        <w:rPr>
          <w:rFonts w:hint="eastAsia" w:ascii="宋体" w:hAnsi="宋体" w:eastAsia="宋体" w:cs="宋体"/>
          <w:b/>
          <w:bCs/>
          <w:color w:val="auto"/>
          <w:sz w:val="30"/>
          <w:szCs w:val="30"/>
          <w:highlight w:val="none"/>
        </w:rPr>
      </w:pPr>
      <w:r>
        <w:rPr>
          <w:rFonts w:hint="eastAsia" w:ascii="宋体" w:hAnsi="宋体" w:eastAsia="宋体" w:cs="宋体"/>
          <w:b/>
          <w:color w:val="auto"/>
          <w:sz w:val="30"/>
          <w:szCs w:val="30"/>
          <w:highlight w:val="none"/>
        </w:rPr>
        <w:t>招标代理机构：</w:t>
      </w:r>
      <w:r>
        <w:rPr>
          <w:rFonts w:hint="eastAsia" w:ascii="宋体" w:hAnsi="宋体" w:eastAsia="宋体" w:cs="宋体"/>
          <w:b/>
          <w:color w:val="auto"/>
          <w:sz w:val="30"/>
          <w:szCs w:val="30"/>
          <w:highlight w:val="none"/>
          <w:lang w:eastAsia="zh-CN"/>
        </w:rPr>
        <w:t>福建省天海招标有限公司</w:t>
      </w:r>
      <w:r>
        <w:rPr>
          <w:rFonts w:hint="eastAsia" w:ascii="宋体" w:hAnsi="宋体" w:eastAsia="宋体" w:cs="宋体"/>
          <w:b/>
          <w:bCs/>
          <w:color w:val="auto"/>
          <w:sz w:val="30"/>
          <w:szCs w:val="30"/>
          <w:highlight w:val="none"/>
        </w:rPr>
        <w:t>(盖章)</w:t>
      </w:r>
    </w:p>
    <w:p>
      <w:pPr>
        <w:keepNext w:val="0"/>
        <w:keepLines w:val="0"/>
        <w:pageBreakBefore w:val="0"/>
        <w:kinsoku/>
        <w:overflowPunct/>
        <w:autoSpaceDE/>
        <w:autoSpaceDN/>
        <w:bidi w:val="0"/>
        <w:spacing w:line="360" w:lineRule="auto"/>
        <w:ind w:left="0" w:leftChars="0" w:firstLine="0" w:firstLineChars="0"/>
        <w:jc w:val="center"/>
        <w:textAlignment w:val="auto"/>
        <w:outlineLvl w:val="9"/>
        <w:rPr>
          <w:rFonts w:hint="default"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lang w:val="en-US" w:eastAsia="zh-CN"/>
        </w:rPr>
        <w:t>二O二O年</w:t>
      </w:r>
      <w:r>
        <w:rPr>
          <w:rFonts w:hint="eastAsia" w:ascii="宋体" w:hAnsi="宋体" w:cs="宋体"/>
          <w:b/>
          <w:bCs/>
          <w:color w:val="auto"/>
          <w:sz w:val="30"/>
          <w:szCs w:val="30"/>
          <w:highlight w:val="none"/>
          <w:lang w:val="en-US" w:eastAsia="zh-CN"/>
        </w:rPr>
        <w:t>四</w:t>
      </w:r>
      <w:r>
        <w:rPr>
          <w:rFonts w:hint="eastAsia" w:ascii="宋体" w:hAnsi="宋体" w:eastAsia="宋体" w:cs="宋体"/>
          <w:b/>
          <w:bCs/>
          <w:color w:val="auto"/>
          <w:sz w:val="30"/>
          <w:szCs w:val="30"/>
          <w:highlight w:val="none"/>
          <w:lang w:val="en-US" w:eastAsia="zh-CN"/>
        </w:rPr>
        <w:t>月</w:t>
      </w:r>
    </w:p>
    <w:p>
      <w:pPr>
        <w:pStyle w:val="22"/>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b/>
          <w:bCs/>
          <w:color w:val="auto"/>
          <w:sz w:val="32"/>
          <w:szCs w:val="32"/>
          <w:highlight w:val="none"/>
        </w:rPr>
        <w:sectPr>
          <w:headerReference r:id="rId3" w:type="first"/>
          <w:footerReference r:id="rId6" w:type="first"/>
          <w:footerReference r:id="rId4" w:type="default"/>
          <w:footerReference r:id="rId5" w:type="even"/>
          <w:type w:val="continuous"/>
          <w:pgSz w:w="11905" w:h="16838"/>
          <w:pgMar w:top="1417" w:right="1417" w:bottom="964" w:left="1474" w:header="794" w:footer="737" w:gutter="0"/>
          <w:pgNumType w:fmt="decimal"/>
          <w:cols w:space="0" w:num="1"/>
          <w:titlePg/>
          <w:rtlGutter w:val="0"/>
          <w:docGrid w:linePitch="312" w:charSpace="0"/>
        </w:sectPr>
      </w:pPr>
      <w:bookmarkStart w:id="0" w:name="_Toc351968203"/>
      <w:bookmarkStart w:id="1" w:name="_Toc333941236"/>
      <w:bookmarkStart w:id="2" w:name="_Toc333150905"/>
      <w:bookmarkStart w:id="3" w:name="_Toc330200582"/>
      <w:bookmarkStart w:id="4" w:name="_Toc320798683"/>
      <w:bookmarkStart w:id="5" w:name="_Toc383526179"/>
      <w:bookmarkStart w:id="6" w:name="_Toc339986998"/>
      <w:bookmarkStart w:id="7" w:name="_Toc334790829"/>
      <w:bookmarkStart w:id="8" w:name="_Toc351740753"/>
      <w:bookmarkStart w:id="9" w:name="_Toc346300325"/>
      <w:bookmarkStart w:id="10" w:name="_Toc346043935"/>
      <w:bookmarkStart w:id="11" w:name="_Toc362102228"/>
      <w:bookmarkStart w:id="12" w:name="_Toc363116268"/>
      <w:bookmarkStart w:id="13" w:name="_Toc333150802"/>
      <w:bookmarkStart w:id="14" w:name="_Toc333922939"/>
      <w:bookmarkStart w:id="15" w:name="_Toc363150184"/>
      <w:bookmarkStart w:id="16" w:name="_Toc310407934"/>
      <w:bookmarkStart w:id="17" w:name="_Toc339987412"/>
      <w:bookmarkStart w:id="18" w:name="_Toc320798132"/>
      <w:bookmarkStart w:id="19" w:name="_Toc363065216"/>
      <w:bookmarkStart w:id="20" w:name="_Toc309325624"/>
      <w:bookmarkStart w:id="21" w:name="_Toc334625807"/>
      <w:bookmarkStart w:id="22" w:name="_Toc333939845"/>
      <w:bookmarkStart w:id="23" w:name="_Toc334625493"/>
      <w:bookmarkStart w:id="24" w:name="_Toc351395646"/>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Pr>
        <w:pageBreakBefore w:val="0"/>
        <w:kinsoku/>
        <w:overflowPunct/>
        <w:bidi w:val="0"/>
        <w:spacing w:line="360" w:lineRule="auto"/>
        <w:ind w:left="0" w:leftChars="0" w:right="0" w:rightChars="0" w:firstLine="0" w:firstLineChars="0"/>
        <w:jc w:val="center"/>
        <w:rPr>
          <w:b/>
          <w:bCs/>
          <w:sz w:val="36"/>
          <w:szCs w:val="36"/>
          <w:highlight w:val="none"/>
        </w:rPr>
      </w:pPr>
      <w:r>
        <w:rPr>
          <w:rFonts w:ascii="宋体" w:hAnsi="宋体" w:eastAsia="宋体"/>
          <w:b/>
          <w:bCs/>
          <w:sz w:val="36"/>
          <w:szCs w:val="36"/>
          <w:highlight w:val="none"/>
        </w:rPr>
        <w:t>目</w:t>
      </w:r>
      <w:r>
        <w:rPr>
          <w:rFonts w:hint="eastAsia" w:ascii="宋体" w:hAnsi="宋体" w:eastAsia="宋体"/>
          <w:b/>
          <w:bCs/>
          <w:sz w:val="36"/>
          <w:szCs w:val="36"/>
          <w:highlight w:val="none"/>
          <w:lang w:val="en-US" w:eastAsia="zh-CN"/>
        </w:rPr>
        <w:t xml:space="preserve">  </w:t>
      </w:r>
      <w:r>
        <w:rPr>
          <w:rFonts w:ascii="宋体" w:hAnsi="宋体" w:eastAsia="宋体"/>
          <w:b/>
          <w:bCs/>
          <w:sz w:val="36"/>
          <w:szCs w:val="36"/>
          <w:highlight w:val="none"/>
        </w:rPr>
        <w:t>录</w:t>
      </w:r>
    </w:p>
    <w:p>
      <w:pPr>
        <w:pStyle w:val="28"/>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p>
    <w:p>
      <w:pPr>
        <w:pStyle w:val="28"/>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"1-3"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_Toc20081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第一章  投标邀请</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_Toc20081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_Toc21380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lang w:eastAsia="zh-CN"/>
        </w:rPr>
        <w:t>一、</w:t>
      </w:r>
      <w:r>
        <w:rPr>
          <w:rFonts w:hint="eastAsia" w:ascii="宋体" w:hAnsi="宋体" w:eastAsia="宋体" w:cs="宋体"/>
          <w:sz w:val="24"/>
          <w:szCs w:val="24"/>
          <w:highlight w:val="none"/>
        </w:rPr>
        <w:t>投标邀请</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_Toc21380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_Toc24970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lang w:eastAsia="zh-CN"/>
        </w:rPr>
        <w:t>二、</w:t>
      </w:r>
      <w:r>
        <w:rPr>
          <w:rFonts w:hint="eastAsia" w:ascii="宋体" w:hAnsi="宋体" w:eastAsia="宋体" w:cs="宋体"/>
          <w:bCs/>
          <w:sz w:val="24"/>
          <w:szCs w:val="24"/>
          <w:highlight w:val="none"/>
        </w:rPr>
        <w:t>招标项目一览表</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_Toc24970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28"/>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_Toc9128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第二章  投标人须知</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_Toc9128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_Toc3312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投标人须知前附表</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_Toc3312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_Toc9633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一、说明</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_Toc9633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15</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_Toc29602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二、招标文件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_Toc29602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16</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_Toc16469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三、投标文件的编写</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_Toc16469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16</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_Toc31046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四、投标文件的提交</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_Toc31046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19</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_Toc26562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五、投标文件的评估和比较</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_Toc26562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20</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_Toc11537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六、定标与签订合同</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_Toc11537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23</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_Toc21710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七、质疑与答复</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_Toc21710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24</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28"/>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_Toc14536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 xml:space="preserve">第三章 </w:t>
      </w:r>
      <w:r>
        <w:rPr>
          <w:rFonts w:hint="eastAsia" w:ascii="宋体" w:hAnsi="宋体" w:eastAsia="宋体" w:cs="宋体"/>
          <w:bCs/>
          <w:sz w:val="24"/>
          <w:szCs w:val="24"/>
          <w:highlight w:val="none"/>
        </w:rPr>
        <w:t>招标内容及要求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_Toc14536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25</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_Toc29882 </w:instrText>
      </w:r>
      <w:r>
        <w:rPr>
          <w:rFonts w:hint="eastAsia" w:ascii="宋体" w:hAnsi="宋体" w:eastAsia="宋体" w:cs="宋体"/>
          <w:sz w:val="24"/>
          <w:szCs w:val="24"/>
          <w:highlight w:val="none"/>
        </w:rPr>
        <w:fldChar w:fldCharType="separate"/>
      </w:r>
      <w:r>
        <w:rPr>
          <w:rFonts w:hint="eastAsia" w:ascii="宋体" w:hAnsi="宋体" w:eastAsia="宋体" w:cs="宋体"/>
          <w:bCs/>
          <w:spacing w:val="0"/>
          <w:sz w:val="24"/>
          <w:szCs w:val="24"/>
          <w:highlight w:val="none"/>
        </w:rPr>
        <w:t>一、 项目概况</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_Toc29882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25</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_Toc23792 </w:instrText>
      </w:r>
      <w:r>
        <w:rPr>
          <w:rFonts w:hint="eastAsia" w:ascii="宋体" w:hAnsi="宋体" w:eastAsia="宋体" w:cs="宋体"/>
          <w:sz w:val="24"/>
          <w:szCs w:val="24"/>
          <w:highlight w:val="none"/>
        </w:rPr>
        <w:fldChar w:fldCharType="separate"/>
      </w:r>
      <w:r>
        <w:rPr>
          <w:rFonts w:hint="eastAsia" w:ascii="宋体" w:hAnsi="宋体" w:eastAsia="宋体" w:cs="宋体"/>
          <w:bCs/>
          <w:spacing w:val="0"/>
          <w:sz w:val="24"/>
          <w:szCs w:val="24"/>
          <w:highlight w:val="none"/>
          <w:lang w:eastAsia="zh-CN"/>
        </w:rPr>
        <w:t xml:space="preserve">二、 </w:t>
      </w:r>
      <w:r>
        <w:rPr>
          <w:rFonts w:hint="eastAsia" w:ascii="宋体" w:hAnsi="宋体" w:eastAsia="宋体" w:cs="宋体"/>
          <w:bCs/>
          <w:spacing w:val="0"/>
          <w:sz w:val="24"/>
          <w:szCs w:val="24"/>
          <w:highlight w:val="none"/>
        </w:rPr>
        <w:t>技术要求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_Toc23792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25</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_Toc5401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lang w:val="en-US" w:eastAsia="zh-CN"/>
        </w:rPr>
        <w:t>三、 商务条件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_Toc5401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35</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28"/>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_Toc2926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 xml:space="preserve">第四章  </w:t>
      </w:r>
      <w:r>
        <w:rPr>
          <w:rFonts w:hint="eastAsia" w:ascii="宋体" w:hAnsi="宋体" w:eastAsia="宋体" w:cs="宋体"/>
          <w:bCs/>
          <w:sz w:val="24"/>
          <w:szCs w:val="24"/>
          <w:highlight w:val="none"/>
          <w:lang w:eastAsia="zh-CN"/>
        </w:rPr>
        <w:t>政府采购合同（参考文本）</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_Toc2926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40</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28"/>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_Toc14448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第五章  投标文件格式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_Toc14448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44</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_Toc31772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（资格及资信证明部分）</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_Toc31772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45</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_Toc26210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（报价部分）</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_Toc26210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63</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33"/>
        <w:keepNext w:val="0"/>
        <w:keepLines w:val="0"/>
        <w:pageBreakBefore w:val="0"/>
        <w:widowControl w:val="0"/>
        <w:tabs>
          <w:tab w:val="right" w:leader="dot" w:pos="9722"/>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_Toc9391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（技术商务部分）</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_Toc9391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75</w:t>
      </w:r>
      <w:r>
        <w:rPr>
          <w:rFonts w:hint="eastAsia" w:ascii="宋体" w:hAnsi="宋体" w:eastAsia="宋体" w:cs="宋体"/>
          <w:sz w:val="24"/>
          <w:szCs w:val="24"/>
          <w:highlight w:val="none"/>
        </w:rPr>
        <w:fldChar w:fldCharType="end"/>
      </w:r>
      <w:r>
        <w:rPr>
          <w:rFonts w:hint="eastAsia" w:ascii="宋体" w:hAnsi="宋体" w:eastAsia="宋体" w:cs="宋体"/>
          <w:color w:val="auto"/>
          <w:sz w:val="24"/>
          <w:szCs w:val="24"/>
          <w:highlight w:val="none"/>
        </w:rPr>
        <w:fldChar w:fldCharType="end"/>
      </w:r>
    </w:p>
    <w:p>
      <w:pPr>
        <w:pStyle w:val="28"/>
        <w:tabs>
          <w:tab w:val="right" w:leader="dot" w:pos="9722"/>
        </w:tabs>
        <w:rPr>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Cs w:val="24"/>
          <w:highlight w:val="none"/>
        </w:rPr>
        <w:fldChar w:fldCharType="end"/>
      </w:r>
    </w:p>
    <w:p>
      <w:pPr>
        <w:pStyle w:val="28"/>
        <w:pageBreakBefore w:val="0"/>
        <w:tabs>
          <w:tab w:val="left" w:pos="586"/>
        </w:tabs>
        <w:kinsoku/>
        <w:overflowPunct/>
        <w:bidi w:val="0"/>
        <w:spacing w:line="360" w:lineRule="auto"/>
        <w:ind w:firstLine="720" w:firstLineChars="300"/>
        <w:jc w:val="both"/>
        <w:rPr>
          <w:rFonts w:ascii="宋体" w:eastAsia="宋体"/>
          <w:color w:val="000000"/>
          <w:sz w:val="24"/>
          <w:szCs w:val="24"/>
          <w:highlight w:val="none"/>
        </w:rPr>
      </w:pPr>
      <w:bookmarkStart w:id="25" w:name="_Toc492718034"/>
      <w:r>
        <w:rPr>
          <w:rFonts w:hint="eastAsia" w:ascii="宋体" w:eastAsia="宋体"/>
          <w:color w:val="000000"/>
          <w:sz w:val="24"/>
          <w:szCs w:val="24"/>
          <w:highlight w:val="none"/>
        </w:rPr>
        <w:t>注：本招标文件共</w:t>
      </w:r>
      <w:r>
        <w:rPr>
          <w:rFonts w:hint="eastAsia" w:ascii="宋体"/>
          <w:color w:val="000000"/>
          <w:sz w:val="24"/>
          <w:szCs w:val="24"/>
          <w:highlight w:val="none"/>
          <w:u w:val="single"/>
          <w:lang w:val="en-US" w:eastAsia="zh-CN"/>
        </w:rPr>
        <w:t>83</w:t>
      </w:r>
      <w:r>
        <w:rPr>
          <w:rFonts w:hint="eastAsia" w:ascii="宋体" w:eastAsia="宋体"/>
          <w:color w:val="000000"/>
          <w:sz w:val="24"/>
          <w:szCs w:val="24"/>
          <w:highlight w:val="none"/>
        </w:rPr>
        <w:t>页（含封面），请投标人领取招标文件时自行核对，如发现缺、损等情况，自领取招标文件之日起二日内向招标代理机构提出，否则，由此造成的一切后果由投标人自负。</w:t>
      </w:r>
    </w:p>
    <w:p>
      <w:pPr>
        <w:pStyle w:val="38"/>
        <w:pageBreakBefore w:val="0"/>
        <w:kinsoku/>
        <w:overflowPunct/>
        <w:bidi w:val="0"/>
        <w:spacing w:line="360" w:lineRule="auto"/>
        <w:outlineLvl w:val="9"/>
        <w:rPr>
          <w:rFonts w:hint="eastAsia"/>
          <w:highlight w:val="none"/>
        </w:rPr>
      </w:pPr>
    </w:p>
    <w:p>
      <w:pPr>
        <w:keepNext w:val="0"/>
        <w:keepLines w:val="0"/>
        <w:pageBreakBefore w:val="0"/>
        <w:kinsoku/>
        <w:overflowPunct/>
        <w:autoSpaceDE/>
        <w:autoSpaceDN/>
        <w:bidi w:val="0"/>
        <w:spacing w:line="360" w:lineRule="auto"/>
        <w:jc w:val="center"/>
        <w:textAlignment w:val="auto"/>
        <w:outlineLvl w:val="0"/>
        <w:rPr>
          <w:rFonts w:hint="eastAsia" w:ascii="宋体" w:hAnsi="宋体" w:eastAsia="宋体" w:cs="宋体"/>
          <w:b/>
          <w:color w:val="auto"/>
          <w:sz w:val="36"/>
          <w:highlight w:val="none"/>
        </w:rPr>
        <w:sectPr>
          <w:footerReference r:id="rId7" w:type="default"/>
          <w:type w:val="continuous"/>
          <w:pgSz w:w="11905" w:h="16838"/>
          <w:pgMar w:top="1417" w:right="1417" w:bottom="964" w:left="1474" w:header="851" w:footer="992" w:gutter="0"/>
          <w:pgNumType w:fmt="decimal" w:start="1"/>
          <w:cols w:space="0" w:num="1"/>
          <w:rtlGutter w:val="0"/>
          <w:docGrid w:linePitch="312" w:charSpace="0"/>
        </w:sectPr>
      </w:pPr>
      <w:bookmarkStart w:id="26" w:name="_Toc20081"/>
    </w:p>
    <w:p>
      <w:pPr>
        <w:keepNext w:val="0"/>
        <w:keepLines w:val="0"/>
        <w:pageBreakBefore w:val="0"/>
        <w:kinsoku/>
        <w:overflowPunct/>
        <w:autoSpaceDE/>
        <w:autoSpaceDN/>
        <w:bidi w:val="0"/>
        <w:spacing w:line="360" w:lineRule="auto"/>
        <w:jc w:val="center"/>
        <w:textAlignment w:val="auto"/>
        <w:outlineLvl w:val="0"/>
        <w:rPr>
          <w:rFonts w:hint="eastAsia" w:ascii="宋体" w:hAnsi="宋体" w:eastAsia="宋体" w:cs="宋体"/>
          <w:b/>
          <w:color w:val="auto"/>
          <w:sz w:val="36"/>
          <w:highlight w:val="none"/>
        </w:rPr>
      </w:pPr>
      <w:r>
        <w:rPr>
          <w:rFonts w:hint="eastAsia" w:ascii="宋体" w:hAnsi="宋体" w:eastAsia="宋体" w:cs="宋体"/>
          <w:b/>
          <w:color w:val="auto"/>
          <w:sz w:val="36"/>
          <w:highlight w:val="none"/>
        </w:rPr>
        <w:t>第一章  投标邀请</w:t>
      </w:r>
      <w:bookmarkEnd w:id="25"/>
      <w:bookmarkEnd w:id="26"/>
    </w:p>
    <w:p>
      <w:pPr>
        <w:keepNext w:val="0"/>
        <w:keepLines w:val="0"/>
        <w:pageBreakBefore w:val="0"/>
        <w:kinsoku/>
        <w:overflowPunct/>
        <w:autoSpaceDE/>
        <w:autoSpaceDN/>
        <w:bidi w:val="0"/>
        <w:spacing w:line="360" w:lineRule="auto"/>
        <w:jc w:val="center"/>
        <w:textAlignment w:val="auto"/>
        <w:outlineLvl w:val="1"/>
        <w:rPr>
          <w:rFonts w:hint="eastAsia" w:ascii="宋体" w:hAnsi="宋体" w:eastAsia="宋体" w:cs="宋体"/>
          <w:b/>
          <w:color w:val="auto"/>
          <w:sz w:val="44"/>
          <w:szCs w:val="20"/>
          <w:highlight w:val="none"/>
        </w:rPr>
      </w:pPr>
      <w:bookmarkStart w:id="27" w:name="_Toc492718035"/>
      <w:bookmarkStart w:id="28" w:name="_Toc21380"/>
      <w:r>
        <w:rPr>
          <w:rFonts w:hint="eastAsia" w:ascii="宋体" w:hAnsi="宋体" w:cs="宋体"/>
          <w:b/>
          <w:color w:val="auto"/>
          <w:sz w:val="36"/>
          <w:highlight w:val="none"/>
          <w:lang w:eastAsia="zh-CN"/>
        </w:rPr>
        <w:t>一、</w:t>
      </w:r>
      <w:r>
        <w:rPr>
          <w:rFonts w:hint="eastAsia" w:ascii="宋体" w:hAnsi="宋体" w:eastAsia="宋体" w:cs="宋体"/>
          <w:b/>
          <w:color w:val="auto"/>
          <w:sz w:val="36"/>
          <w:highlight w:val="none"/>
        </w:rPr>
        <w:t>投标邀请</w:t>
      </w:r>
      <w:bookmarkEnd w:id="27"/>
      <w:bookmarkEnd w:id="28"/>
    </w:p>
    <w:p>
      <w:pPr>
        <w:keepNext w:val="0"/>
        <w:keepLines w:val="0"/>
        <w:pageBreakBefore w:val="0"/>
        <w:kinsoku/>
        <w:overflowPunct/>
        <w:autoSpaceDE/>
        <w:autoSpaceDN/>
        <w:bidi w:val="0"/>
        <w:spacing w:line="360" w:lineRule="auto"/>
        <w:ind w:firstLine="482" w:firstLineChars="200"/>
        <w:textAlignment w:val="auto"/>
        <w:outlineLvl w:val="9"/>
        <w:rPr>
          <w:rFonts w:hint="eastAsia" w:ascii="宋体" w:hAnsi="宋体" w:eastAsia="宋体" w:cs="宋体"/>
          <w:b/>
          <w:bCs/>
          <w:color w:val="auto"/>
          <w:sz w:val="24"/>
          <w:highlight w:val="none"/>
          <w:u w:val="none"/>
          <w:lang w:eastAsia="zh-CN"/>
        </w:rPr>
      </w:pPr>
      <w:r>
        <w:rPr>
          <w:rFonts w:hint="eastAsia" w:ascii="宋体" w:hAnsi="宋体" w:eastAsia="宋体" w:cs="宋体"/>
          <w:b/>
          <w:bCs/>
          <w:color w:val="auto"/>
          <w:sz w:val="24"/>
          <w:highlight w:val="none"/>
          <w:u w:val="none"/>
          <w:lang w:eastAsia="zh-CN"/>
        </w:rPr>
        <w:t>根据《福建省财政厅关于落实疫情防控采购便利化有关政策的通知》的规定，本项目以满足疫情防控工作需要为首要目标，不执行政府采购法规定的方式和程序。</w:t>
      </w:r>
    </w:p>
    <w:p>
      <w:pPr>
        <w:pStyle w:val="36"/>
        <w:keepNext w:val="0"/>
        <w:keepLines w:val="0"/>
        <w:pageBreakBefore w:val="0"/>
        <w:widowControl/>
        <w:kinsoku/>
        <w:overflowPunct/>
        <w:autoSpaceDE/>
        <w:autoSpaceDN/>
        <w:bidi w:val="0"/>
        <w:spacing w:before="0" w:beforeLines="0" w:beforeAutospacing="0" w:after="0" w:afterLines="0" w:afterAutospacing="0" w:line="360" w:lineRule="auto"/>
        <w:ind w:firstLine="480"/>
        <w:textAlignment w:val="auto"/>
        <w:outlineLvl w:val="9"/>
        <w:rPr>
          <w:rFonts w:hint="eastAsia" w:ascii="宋体" w:hAnsi="宋体" w:eastAsia="宋体" w:cs="宋体"/>
          <w:b/>
          <w:color w:val="auto"/>
          <w:sz w:val="24"/>
          <w:highlight w:val="none"/>
        </w:rPr>
      </w:pPr>
      <w:r>
        <w:rPr>
          <w:rFonts w:hint="eastAsia" w:ascii="宋体" w:hAnsi="宋体" w:cs="宋体"/>
          <w:color w:val="000000"/>
          <w:highlight w:val="none"/>
          <w:u w:val="single"/>
          <w:lang w:eastAsia="zh-CN"/>
        </w:rPr>
        <w:t>福建省天海招标有限公司</w:t>
      </w:r>
      <w:r>
        <w:rPr>
          <w:rFonts w:hint="eastAsia" w:ascii="宋体" w:hAnsi="宋体" w:cs="宋体"/>
          <w:color w:val="000000"/>
          <w:highlight w:val="none"/>
          <w:u w:val="single"/>
          <w:lang w:val="en-US" w:eastAsia="zh-CN"/>
        </w:rPr>
        <w:t xml:space="preserve"> </w:t>
      </w:r>
      <w:r>
        <w:rPr>
          <w:rFonts w:hint="eastAsia" w:ascii="宋体" w:hAnsi="宋体" w:cs="宋体"/>
          <w:color w:val="000000"/>
          <w:highlight w:val="none"/>
        </w:rPr>
        <w:t>受</w:t>
      </w:r>
      <w:r>
        <w:rPr>
          <w:rFonts w:hint="eastAsia" w:ascii="宋体" w:hAnsi="宋体" w:cs="宋体"/>
          <w:color w:val="000000"/>
          <w:highlight w:val="none"/>
          <w:u w:val="single"/>
          <w:lang w:val="en-US" w:eastAsia="zh-CN"/>
        </w:rPr>
        <w:t xml:space="preserve"> </w:t>
      </w:r>
      <w:r>
        <w:rPr>
          <w:rFonts w:hint="eastAsia" w:ascii="宋体" w:hAnsi="宋体" w:cs="宋体"/>
          <w:color w:val="000000"/>
          <w:highlight w:val="none"/>
          <w:u w:val="single"/>
        </w:rPr>
        <w:t>福建省卫生健康委员会</w:t>
      </w:r>
      <w:r>
        <w:rPr>
          <w:rFonts w:hint="eastAsia" w:ascii="宋体" w:hAnsi="宋体" w:cs="宋体"/>
          <w:color w:val="000000"/>
          <w:highlight w:val="none"/>
          <w:u w:val="single"/>
          <w:lang w:val="en-US" w:eastAsia="zh-CN"/>
        </w:rPr>
        <w:t xml:space="preserve"> </w:t>
      </w:r>
      <w:r>
        <w:rPr>
          <w:rFonts w:hint="eastAsia" w:ascii="宋体" w:hAnsi="宋体" w:cs="宋体"/>
          <w:color w:val="000000"/>
          <w:highlight w:val="none"/>
        </w:rPr>
        <w:t>的委托，对</w:t>
      </w:r>
      <w:r>
        <w:rPr>
          <w:rFonts w:hint="eastAsia" w:ascii="宋体" w:hAnsi="宋体" w:cs="宋体"/>
          <w:color w:val="000000"/>
          <w:highlight w:val="none"/>
          <w:u w:val="single"/>
          <w:lang w:val="en-US" w:eastAsia="zh-CN"/>
        </w:rPr>
        <w:t xml:space="preserve"> </w:t>
      </w:r>
      <w:r>
        <w:rPr>
          <w:rFonts w:hint="eastAsia" w:ascii="宋体" w:hAnsi="宋体" w:cs="宋体"/>
          <w:color w:val="000000"/>
          <w:highlight w:val="none"/>
          <w:u w:val="single"/>
        </w:rPr>
        <w:t>福建省</w:t>
      </w:r>
      <w:r>
        <w:rPr>
          <w:rFonts w:hint="eastAsia" w:ascii="宋体" w:hAnsi="宋体" w:cs="宋体"/>
          <w:color w:val="000000"/>
          <w:highlight w:val="none"/>
          <w:u w:val="single"/>
          <w:lang w:eastAsia="zh-CN"/>
        </w:rPr>
        <w:t>部分卫生院</w:t>
      </w:r>
      <w:r>
        <w:rPr>
          <w:rFonts w:hint="eastAsia" w:ascii="宋体" w:hAnsi="宋体" w:cs="宋体"/>
          <w:color w:val="000000"/>
          <w:highlight w:val="none"/>
          <w:u w:val="single"/>
        </w:rPr>
        <w:t>新冠肺炎</w:t>
      </w:r>
      <w:r>
        <w:rPr>
          <w:rFonts w:hint="eastAsia" w:ascii="宋体" w:hAnsi="宋体" w:cs="宋体"/>
          <w:color w:val="000000"/>
          <w:highlight w:val="none"/>
          <w:u w:val="single"/>
          <w:lang w:eastAsia="zh-CN"/>
        </w:rPr>
        <w:t>疫情</w:t>
      </w:r>
      <w:r>
        <w:rPr>
          <w:rFonts w:hint="eastAsia" w:ascii="宋体" w:hAnsi="宋体" w:cs="宋体"/>
          <w:color w:val="000000"/>
          <w:highlight w:val="none"/>
          <w:u w:val="single"/>
        </w:rPr>
        <w:t>防治</w:t>
      </w:r>
      <w:r>
        <w:rPr>
          <w:rFonts w:hint="eastAsia" w:ascii="宋体" w:hAnsi="宋体" w:cs="宋体"/>
          <w:color w:val="000000"/>
          <w:highlight w:val="none"/>
          <w:u w:val="single"/>
          <w:lang w:eastAsia="zh-CN"/>
        </w:rPr>
        <w:t>转运</w:t>
      </w:r>
      <w:r>
        <w:rPr>
          <w:rFonts w:hint="eastAsia" w:ascii="宋体" w:hAnsi="宋体" w:cs="宋体"/>
          <w:color w:val="000000"/>
          <w:highlight w:val="none"/>
          <w:u w:val="single"/>
        </w:rPr>
        <w:t>救护车采购项目</w:t>
      </w:r>
      <w:r>
        <w:rPr>
          <w:rFonts w:hint="eastAsia" w:ascii="宋体" w:hAnsi="宋体" w:cs="宋体"/>
          <w:color w:val="000000"/>
          <w:highlight w:val="none"/>
          <w:u w:val="single"/>
          <w:lang w:val="en-US" w:eastAsia="zh-CN"/>
        </w:rPr>
        <w:t xml:space="preserve"> </w:t>
      </w:r>
      <w:r>
        <w:rPr>
          <w:rFonts w:hint="eastAsia" w:ascii="宋体" w:hAnsi="宋体" w:cs="宋体"/>
          <w:color w:val="000000"/>
          <w:highlight w:val="none"/>
        </w:rPr>
        <w:t>进行</w:t>
      </w:r>
      <w:bookmarkStart w:id="190" w:name="_GoBack"/>
      <w:bookmarkEnd w:id="190"/>
      <w:r>
        <w:rPr>
          <w:rFonts w:hint="eastAsia" w:ascii="宋体" w:hAnsi="宋体" w:cs="宋体"/>
          <w:color w:val="000000"/>
          <w:highlight w:val="none"/>
        </w:rPr>
        <w:t>招标，现欢迎国内合格的投标人前来提交密封的投标。</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1、招标编号：FJTH-6020200426 </w:t>
      </w:r>
    </w:p>
    <w:p>
      <w:pPr>
        <w:keepNext w:val="0"/>
        <w:keepLines w:val="0"/>
        <w:pageBreakBefore w:val="0"/>
        <w:kinsoku/>
        <w:overflowPunct/>
        <w:autoSpaceDE/>
        <w:autoSpaceDN/>
        <w:bidi w:val="0"/>
        <w:spacing w:line="360" w:lineRule="auto"/>
        <w:ind w:firstLine="480" w:firstLineChars="200"/>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2、招标要求：详见</w:t>
      </w:r>
      <w:r>
        <w:rPr>
          <w:rFonts w:hint="eastAsia" w:ascii="宋体" w:hAnsi="宋体" w:eastAsia="宋体" w:cs="宋体"/>
          <w:color w:val="auto"/>
          <w:sz w:val="24"/>
          <w:highlight w:val="none"/>
          <w:lang w:eastAsia="zh-CN"/>
        </w:rPr>
        <w:t>第三章招标内容及要求</w:t>
      </w:r>
    </w:p>
    <w:p>
      <w:pPr>
        <w:pStyle w:val="36"/>
        <w:keepNext w:val="0"/>
        <w:keepLines w:val="0"/>
        <w:pageBreakBefore w:val="0"/>
        <w:widowControl/>
        <w:kinsoku/>
        <w:overflowPunct/>
        <w:autoSpaceDE/>
        <w:autoSpaceDN/>
        <w:bidi w:val="0"/>
        <w:spacing w:before="0" w:beforeLines="0" w:beforeAutospacing="0" w:after="0" w:afterLines="0" w:afterAutospacing="0" w:line="360" w:lineRule="auto"/>
        <w:ind w:firstLine="480"/>
        <w:textAlignment w:val="auto"/>
        <w:outlineLvl w:val="9"/>
        <w:rPr>
          <w:rFonts w:hint="eastAsia" w:ascii="宋体" w:hAnsi="宋体" w:eastAsia="宋体" w:cs="宋体"/>
          <w:color w:val="auto"/>
          <w:sz w:val="24"/>
          <w:highlight w:val="none"/>
        </w:rPr>
      </w:pPr>
      <w:r>
        <w:rPr>
          <w:rFonts w:hint="eastAsia" w:ascii="宋体" w:hAnsi="宋体" w:cs="宋体"/>
          <w:color w:val="000000"/>
          <w:highlight w:val="none"/>
          <w:lang w:val="en-US" w:eastAsia="zh-CN"/>
        </w:rPr>
        <w:t>3</w:t>
      </w:r>
      <w:r>
        <w:rPr>
          <w:rFonts w:hint="eastAsia" w:ascii="宋体" w:hAnsi="宋体" w:cs="宋体"/>
          <w:color w:val="000000"/>
          <w:highlight w:val="none"/>
        </w:rPr>
        <w:t>、</w:t>
      </w:r>
      <w:r>
        <w:rPr>
          <w:rFonts w:hint="eastAsia" w:ascii="宋体" w:hAnsi="宋体"/>
          <w:highlight w:val="none"/>
        </w:rPr>
        <w:t>潜在供应商无须报名，可从相关网站上</w:t>
      </w:r>
      <w:r>
        <w:rPr>
          <w:rFonts w:hint="eastAsia" w:ascii="宋体" w:hAnsi="宋体"/>
          <w:highlight w:val="none"/>
          <w:lang w:eastAsia="zh-CN"/>
        </w:rPr>
        <w:t>直接</w:t>
      </w:r>
      <w:r>
        <w:rPr>
          <w:rFonts w:hint="eastAsia" w:ascii="宋体" w:hAnsi="宋体"/>
          <w:highlight w:val="none"/>
        </w:rPr>
        <w:t>获取招标文件，本项目公示期为5 个自然日。</w:t>
      </w:r>
    </w:p>
    <w:p>
      <w:pPr>
        <w:keepNext w:val="0"/>
        <w:keepLines w:val="0"/>
        <w:pageBreakBefore w:val="0"/>
        <w:numPr>
          <w:ilvl w:val="0"/>
          <w:numId w:val="0"/>
        </w:numPr>
        <w:kinsoku/>
        <w:overflowPunct/>
        <w:topLinePunct w:val="0"/>
        <w:autoSpaceDE/>
        <w:autoSpaceDN/>
        <w:bidi w:val="0"/>
        <w:adjustRightInd/>
        <w:spacing w:beforeAutospacing="0" w:afterAutospacing="0" w:line="360" w:lineRule="auto"/>
        <w:ind w:left="368" w:leftChars="175" w:firstLine="50" w:firstLineChars="21"/>
        <w:textAlignment w:val="auto"/>
        <w:outlineLvl w:val="9"/>
        <w:rPr>
          <w:rFonts w:hint="eastAsia" w:ascii="宋体" w:hAnsi="宋体" w:eastAsia="宋体" w:cs="宋体"/>
          <w:color w:val="auto"/>
          <w:kern w:val="0"/>
          <w:sz w:val="24"/>
          <w:highlight w:val="none"/>
        </w:rPr>
      </w:pPr>
      <w:bookmarkStart w:id="29" w:name="_Toc420074834"/>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lang w:val="en-US" w:eastAsia="zh-CN"/>
        </w:rPr>
        <w:t>、</w:t>
      </w:r>
      <w:r>
        <w:rPr>
          <w:rFonts w:hint="eastAsia" w:ascii="宋体" w:hAnsi="宋体" w:eastAsia="宋体" w:cs="宋体"/>
          <w:color w:val="auto"/>
          <w:kern w:val="0"/>
          <w:sz w:val="24"/>
          <w:highlight w:val="none"/>
          <w:lang w:eastAsia="zh-CN"/>
        </w:rPr>
        <w:t>投标</w:t>
      </w:r>
      <w:r>
        <w:rPr>
          <w:rFonts w:hint="eastAsia" w:ascii="宋体" w:hAnsi="宋体" w:eastAsia="宋体" w:cs="宋体"/>
          <w:color w:val="auto"/>
          <w:kern w:val="0"/>
          <w:sz w:val="24"/>
          <w:highlight w:val="none"/>
        </w:rPr>
        <w:t>文件的递交</w:t>
      </w:r>
      <w:bookmarkEnd w:id="29"/>
    </w:p>
    <w:p>
      <w:pPr>
        <w:keepNext w:val="0"/>
        <w:keepLines w:val="0"/>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b/>
          <w:bCs/>
          <w:color w:val="auto"/>
          <w:sz w:val="24"/>
          <w:highlight w:val="none"/>
        </w:rPr>
      </w:pPr>
      <w:r>
        <w:rPr>
          <w:rFonts w:hint="eastAsia" w:ascii="宋体" w:hAnsi="宋体" w:cs="宋体"/>
          <w:color w:val="auto"/>
          <w:sz w:val="24"/>
          <w:highlight w:val="none"/>
          <w:lang w:val="en-US" w:eastAsia="zh-CN"/>
        </w:rPr>
        <w:t>4</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shd w:val="clear" w:color="auto" w:fill="FFFFFF"/>
          <w:lang w:eastAsia="zh-CN"/>
        </w:rPr>
        <w:t>投标</w:t>
      </w:r>
      <w:r>
        <w:rPr>
          <w:rFonts w:hint="eastAsia" w:ascii="宋体" w:hAnsi="宋体" w:eastAsia="宋体" w:cs="宋体"/>
          <w:color w:val="auto"/>
          <w:sz w:val="24"/>
          <w:highlight w:val="none"/>
          <w:shd w:val="clear" w:color="auto" w:fill="FFFFFF"/>
        </w:rPr>
        <w:t>文件递交截止时间及地点</w:t>
      </w:r>
      <w:r>
        <w:rPr>
          <w:rFonts w:hint="eastAsia" w:ascii="宋体" w:hAnsi="宋体" w:eastAsia="宋体" w:cs="宋体"/>
          <w:color w:val="auto"/>
          <w:sz w:val="24"/>
          <w:highlight w:val="none"/>
        </w:rPr>
        <w:t>：20</w:t>
      </w:r>
      <w:r>
        <w:rPr>
          <w:rFonts w:hint="eastAsia" w:ascii="宋体" w:hAnsi="宋体" w:eastAsia="宋体" w:cs="宋体"/>
          <w:color w:val="auto"/>
          <w:sz w:val="24"/>
          <w:highlight w:val="none"/>
          <w:lang w:val="en-US" w:eastAsia="zh-CN"/>
        </w:rPr>
        <w:t>20</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05</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06</w:t>
      </w:r>
      <w:r>
        <w:rPr>
          <w:rFonts w:hint="eastAsia" w:ascii="宋体" w:hAnsi="宋体" w:eastAsia="宋体" w:cs="宋体"/>
          <w:color w:val="auto"/>
          <w:sz w:val="24"/>
          <w:highlight w:val="none"/>
        </w:rPr>
        <w:t>日</w:t>
      </w:r>
      <w:r>
        <w:rPr>
          <w:rFonts w:hint="eastAsia" w:ascii="宋体" w:hAnsi="宋体" w:cs="宋体"/>
          <w:color w:val="auto"/>
          <w:sz w:val="24"/>
          <w:highlight w:val="none"/>
          <w:lang w:val="en-US" w:eastAsia="zh-CN"/>
        </w:rPr>
        <w:t xml:space="preserve">15 </w:t>
      </w:r>
      <w:r>
        <w:rPr>
          <w:rFonts w:hint="eastAsia" w:ascii="宋体" w:hAnsi="宋体" w:eastAsia="宋体" w:cs="宋体"/>
          <w:color w:val="auto"/>
          <w:sz w:val="24"/>
          <w:highlight w:val="none"/>
        </w:rPr>
        <w:t>时</w:t>
      </w:r>
      <w:r>
        <w:rPr>
          <w:rFonts w:hint="eastAsia" w:ascii="宋体" w:hAnsi="宋体" w:cs="宋体"/>
          <w:color w:val="auto"/>
          <w:sz w:val="24"/>
          <w:highlight w:val="none"/>
          <w:lang w:val="en-US" w:eastAsia="zh-CN"/>
        </w:rPr>
        <w:t>00</w:t>
      </w:r>
      <w:r>
        <w:rPr>
          <w:rFonts w:hint="eastAsia" w:ascii="宋体" w:hAnsi="宋体" w:eastAsia="宋体" w:cs="宋体"/>
          <w:color w:val="auto"/>
          <w:sz w:val="24"/>
          <w:highlight w:val="none"/>
        </w:rPr>
        <w:t>分，提交地点为</w:t>
      </w:r>
      <w:r>
        <w:rPr>
          <w:rFonts w:hint="eastAsia" w:ascii="宋体" w:hAnsi="宋体" w:eastAsia="宋体" w:cs="宋体"/>
          <w:b/>
          <w:color w:val="auto"/>
          <w:sz w:val="24"/>
          <w:highlight w:val="none"/>
        </w:rPr>
        <w:t>福建省天海招标有限公司（福州市鼓楼区湖东路99号标力大厦12层</w:t>
      </w:r>
      <w:r>
        <w:rPr>
          <w:rFonts w:hint="eastAsia" w:ascii="宋体" w:hAnsi="宋体" w:cs="宋体"/>
          <w:b/>
          <w:color w:val="auto"/>
          <w:sz w:val="24"/>
          <w:highlight w:val="none"/>
          <w:lang w:eastAsia="zh-CN"/>
        </w:rPr>
        <w:t>）</w:t>
      </w:r>
      <w:r>
        <w:rPr>
          <w:rFonts w:hint="eastAsia" w:ascii="宋体" w:hAnsi="宋体" w:eastAsia="宋体" w:cs="宋体"/>
          <w:b/>
          <w:bCs/>
          <w:color w:val="auto"/>
          <w:sz w:val="24"/>
          <w:highlight w:val="none"/>
        </w:rPr>
        <w:t>。</w:t>
      </w:r>
    </w:p>
    <w:p>
      <w:pPr>
        <w:pStyle w:val="36"/>
        <w:keepNext w:val="0"/>
        <w:keepLines w:val="0"/>
        <w:pageBreakBefore w:val="0"/>
        <w:widowControl/>
        <w:kinsoku/>
        <w:overflowPunct/>
        <w:topLinePunct w:val="0"/>
        <w:autoSpaceDE/>
        <w:autoSpaceDN/>
        <w:bidi w:val="0"/>
        <w:adjustRightInd/>
        <w:spacing w:before="0" w:beforeLines="0" w:beforeAutospacing="0" w:after="0" w:afterLines="0" w:afterAutospacing="0" w:line="360" w:lineRule="auto"/>
        <w:ind w:firstLine="480"/>
        <w:textAlignment w:val="auto"/>
        <w:outlineLvl w:val="9"/>
        <w:rPr>
          <w:rFonts w:hint="eastAsia" w:ascii="宋体" w:hAnsi="宋体" w:eastAsia="宋体" w:cs="宋体"/>
          <w:color w:val="auto"/>
          <w:highlight w:val="none"/>
          <w:shd w:val="clear" w:color="auto" w:fill="FFFFFF"/>
        </w:rPr>
      </w:pPr>
      <w:r>
        <w:rPr>
          <w:rFonts w:hint="eastAsia" w:ascii="宋体" w:hAnsi="宋体" w:cs="宋体"/>
          <w:color w:val="auto"/>
          <w:highlight w:val="none"/>
          <w:lang w:val="en-US" w:eastAsia="zh-CN"/>
        </w:rPr>
        <w:t>4</w:t>
      </w:r>
      <w:r>
        <w:rPr>
          <w:rFonts w:hint="eastAsia" w:ascii="宋体" w:hAnsi="宋体" w:eastAsia="宋体" w:cs="宋体"/>
          <w:color w:val="auto"/>
          <w:highlight w:val="none"/>
        </w:rPr>
        <w:t>.2逾期送达的或者未送达指定地点的或者未按</w:t>
      </w:r>
      <w:r>
        <w:rPr>
          <w:rFonts w:hint="eastAsia" w:ascii="宋体" w:hAnsi="宋体" w:cs="宋体"/>
          <w:color w:val="auto"/>
          <w:sz w:val="24"/>
          <w:highlight w:val="none"/>
          <w:lang w:eastAsia="zh-CN"/>
        </w:rPr>
        <w:t>招标文件</w:t>
      </w:r>
      <w:r>
        <w:rPr>
          <w:rFonts w:hint="eastAsia" w:ascii="宋体" w:hAnsi="宋体" w:eastAsia="宋体" w:cs="宋体"/>
          <w:color w:val="auto"/>
          <w:highlight w:val="none"/>
        </w:rPr>
        <w:t>要求密封的响应文件，</w:t>
      </w:r>
      <w:r>
        <w:rPr>
          <w:rFonts w:hint="eastAsia" w:ascii="宋体" w:hAnsi="宋体" w:eastAsia="宋体" w:cs="宋体"/>
          <w:color w:val="auto"/>
          <w:highlight w:val="none"/>
          <w:shd w:val="clear" w:color="auto" w:fill="FFFFFF"/>
        </w:rPr>
        <w:t>将被拒绝接收。</w:t>
      </w:r>
    </w:p>
    <w:p>
      <w:pPr>
        <w:keepNext w:val="0"/>
        <w:keepLines w:val="0"/>
        <w:pageBreakBefore w:val="0"/>
        <w:kinsoku/>
        <w:overflowPunct/>
        <w:topLinePunct w:val="0"/>
        <w:autoSpaceDE/>
        <w:autoSpaceDN/>
        <w:bidi w:val="0"/>
        <w:adjustRightInd/>
        <w:spacing w:beforeAutospacing="0" w:afterAutospacing="0" w:line="360" w:lineRule="auto"/>
        <w:ind w:firstLine="482" w:firstLineChars="200"/>
        <w:textAlignment w:val="auto"/>
        <w:outlineLvl w:val="9"/>
        <w:rPr>
          <w:rFonts w:hint="eastAsia" w:ascii="宋体" w:hAnsi="宋体" w:eastAsia="宋体" w:cs="宋体"/>
          <w:b/>
          <w:bCs/>
          <w:color w:val="auto"/>
          <w:kern w:val="0"/>
          <w:sz w:val="24"/>
          <w:highlight w:val="none"/>
        </w:rPr>
      </w:pPr>
      <w:r>
        <w:rPr>
          <w:rFonts w:hint="eastAsia" w:ascii="宋体" w:hAnsi="宋体" w:cs="宋体"/>
          <w:b/>
          <w:bCs/>
          <w:color w:val="auto"/>
          <w:sz w:val="24"/>
          <w:highlight w:val="none"/>
          <w:lang w:val="en-US" w:eastAsia="zh-CN"/>
        </w:rPr>
        <w:t>4</w:t>
      </w:r>
      <w:r>
        <w:rPr>
          <w:rFonts w:hint="eastAsia" w:ascii="宋体" w:hAnsi="宋体" w:eastAsia="宋体" w:cs="宋体"/>
          <w:b/>
          <w:bCs/>
          <w:color w:val="auto"/>
          <w:sz w:val="24"/>
          <w:highlight w:val="none"/>
        </w:rPr>
        <w:t xml:space="preserve">.3 </w:t>
      </w:r>
      <w:r>
        <w:rPr>
          <w:rFonts w:hint="eastAsia" w:ascii="宋体" w:hAnsi="宋体" w:cs="宋体"/>
          <w:b/>
          <w:bCs/>
          <w:color w:val="auto"/>
          <w:sz w:val="24"/>
          <w:highlight w:val="none"/>
          <w:lang w:eastAsia="zh-CN"/>
        </w:rPr>
        <w:t>开标</w:t>
      </w:r>
      <w:r>
        <w:rPr>
          <w:rFonts w:hint="eastAsia" w:ascii="宋体" w:hAnsi="宋体" w:eastAsia="宋体" w:cs="宋体"/>
          <w:b/>
          <w:bCs/>
          <w:color w:val="auto"/>
          <w:sz w:val="24"/>
          <w:highlight w:val="none"/>
        </w:rPr>
        <w:t>时间及地点为响应文件递交截止时间及地点的同一时间和地点。</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、发布公告的媒介</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bCs/>
          <w:color w:val="auto"/>
          <w:sz w:val="24"/>
          <w:highlight w:val="none"/>
        </w:rPr>
        <w:t>有</w:t>
      </w:r>
      <w:r>
        <w:rPr>
          <w:rFonts w:hint="eastAsia" w:ascii="宋体" w:hAnsi="宋体" w:eastAsia="宋体" w:cs="宋体"/>
          <w:color w:val="auto"/>
          <w:sz w:val="24"/>
          <w:highlight w:val="none"/>
        </w:rPr>
        <w:t>关本次招标的相关信息(包括招标文件若有修改)将在【福建省卫生健康委员会（http://wjw.fujian.gov.cn/）及</w:t>
      </w:r>
      <w:r>
        <w:rPr>
          <w:rFonts w:hint="eastAsia" w:ascii="宋体" w:hAnsi="宋体" w:cs="宋体"/>
          <w:color w:val="auto"/>
          <w:sz w:val="24"/>
          <w:highlight w:val="none"/>
          <w:lang w:eastAsia="zh-CN"/>
        </w:rPr>
        <w:t>福建省天海招标有限公司</w:t>
      </w:r>
      <w:r>
        <w:rPr>
          <w:rFonts w:hint="eastAsia" w:ascii="宋体" w:hAnsi="宋体" w:eastAsia="宋体" w:cs="宋体"/>
          <w:color w:val="auto"/>
          <w:sz w:val="24"/>
          <w:highlight w:val="none"/>
        </w:rPr>
        <w:t>（http://www.</w:t>
      </w:r>
      <w:r>
        <w:rPr>
          <w:rFonts w:hint="eastAsia" w:ascii="宋体" w:hAnsi="宋体" w:cs="宋体"/>
          <w:color w:val="auto"/>
          <w:sz w:val="24"/>
          <w:highlight w:val="none"/>
          <w:lang w:val="en-US" w:eastAsia="zh-CN"/>
        </w:rPr>
        <w:t>fjthzb</w:t>
      </w:r>
      <w:r>
        <w:rPr>
          <w:rFonts w:hint="eastAsia" w:ascii="宋体" w:hAnsi="宋体" w:eastAsia="宋体" w:cs="宋体"/>
          <w:color w:val="auto"/>
          <w:sz w:val="24"/>
          <w:highlight w:val="none"/>
        </w:rPr>
        <w:t>.com/）】发布，请潜在投标人随时关注相关网站，以免错漏重要信息。</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eastAsia="宋体" w:cs="宋体"/>
          <w:color w:val="auto"/>
          <w:sz w:val="24"/>
          <w:highlight w:val="none"/>
        </w:rPr>
        <w:t>、采购项目联系方式</w:t>
      </w:r>
    </w:p>
    <w:p>
      <w:pPr>
        <w:keepNext w:val="0"/>
        <w:keepLines w:val="0"/>
        <w:pageBreakBefore w:val="0"/>
        <w:kinsoku/>
        <w:overflowPunct/>
        <w:autoSpaceDE/>
        <w:autoSpaceDN/>
        <w:bidi w:val="0"/>
        <w:spacing w:line="360" w:lineRule="auto"/>
        <w:ind w:left="0" w:leftChars="0" w:firstLine="840" w:firstLineChars="350"/>
        <w:textAlignment w:val="auto"/>
        <w:outlineLvl w:val="9"/>
        <w:rPr>
          <w:rFonts w:hint="eastAsia" w:ascii="宋体" w:hAnsi="宋体" w:cs="宋体"/>
          <w:color w:val="auto"/>
          <w:sz w:val="24"/>
          <w:highlight w:val="none"/>
          <w:lang w:val="en-US" w:eastAsia="zh-CN"/>
        </w:rPr>
      </w:pPr>
      <w:r>
        <w:rPr>
          <w:rFonts w:hint="eastAsia" w:ascii="宋体" w:hAnsi="宋体" w:eastAsia="宋体" w:cs="宋体"/>
          <w:color w:val="auto"/>
          <w:sz w:val="24"/>
          <w:highlight w:val="none"/>
        </w:rPr>
        <w:t>联系人姓名：</w:t>
      </w:r>
      <w:r>
        <w:rPr>
          <w:rFonts w:hint="eastAsia" w:ascii="宋体" w:hAnsi="宋体" w:cs="宋体"/>
          <w:color w:val="auto"/>
          <w:sz w:val="24"/>
          <w:highlight w:val="none"/>
          <w:lang w:eastAsia="zh-CN"/>
        </w:rPr>
        <w:t>江女士</w:t>
      </w:r>
      <w:r>
        <w:rPr>
          <w:rFonts w:hint="eastAsia" w:ascii="宋体" w:hAnsi="宋体" w:cs="宋体"/>
          <w:color w:val="auto"/>
          <w:sz w:val="24"/>
          <w:highlight w:val="none"/>
          <w:lang w:val="en-US" w:eastAsia="zh-CN"/>
        </w:rPr>
        <w:t xml:space="preserve"> </w:t>
      </w:r>
    </w:p>
    <w:p>
      <w:pPr>
        <w:keepNext w:val="0"/>
        <w:keepLines w:val="0"/>
        <w:pageBreakBefore w:val="0"/>
        <w:kinsoku/>
        <w:overflowPunct/>
        <w:autoSpaceDE/>
        <w:autoSpaceDN/>
        <w:bidi w:val="0"/>
        <w:spacing w:line="360" w:lineRule="auto"/>
        <w:ind w:left="0" w:leftChars="0" w:firstLine="840" w:firstLineChars="350"/>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w:t>
      </w:r>
      <w:r>
        <w:rPr>
          <w:rFonts w:hint="eastAsia" w:ascii="宋体" w:hAnsi="宋体" w:eastAsia="宋体" w:cs="宋体"/>
          <w:color w:val="auto"/>
          <w:sz w:val="24"/>
          <w:highlight w:val="none"/>
          <w:lang w:val="en-US" w:eastAsia="zh-CN"/>
        </w:rPr>
        <w:t>0591-</w:t>
      </w:r>
      <w:r>
        <w:rPr>
          <w:rFonts w:hint="eastAsia" w:ascii="宋体" w:hAnsi="宋体" w:eastAsia="宋体" w:cs="宋体"/>
          <w:color w:val="auto"/>
          <w:sz w:val="24"/>
          <w:highlight w:val="none"/>
        </w:rPr>
        <w:t>87</w:t>
      </w:r>
      <w:r>
        <w:rPr>
          <w:rFonts w:hint="eastAsia" w:ascii="宋体" w:hAnsi="宋体" w:cs="宋体"/>
          <w:color w:val="auto"/>
          <w:sz w:val="24"/>
          <w:highlight w:val="none"/>
          <w:lang w:val="en-US" w:eastAsia="zh-CN"/>
        </w:rPr>
        <w:t>322531</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u w:val="none"/>
          <w:lang w:eastAsia="zh-CN"/>
        </w:rPr>
      </w:pP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、招标</w:t>
      </w:r>
      <w:r>
        <w:rPr>
          <w:rFonts w:hint="eastAsia" w:ascii="宋体" w:hAnsi="宋体" w:eastAsia="宋体" w:cs="宋体"/>
          <w:color w:val="auto"/>
          <w:sz w:val="24"/>
          <w:highlight w:val="none"/>
          <w:u w:val="none"/>
        </w:rPr>
        <w:t>代理机构：</w:t>
      </w:r>
      <w:r>
        <w:rPr>
          <w:rFonts w:hint="eastAsia" w:ascii="宋体" w:hAnsi="宋体" w:eastAsia="宋体" w:cs="宋体"/>
          <w:color w:val="auto"/>
          <w:sz w:val="24"/>
          <w:highlight w:val="none"/>
          <w:u w:val="none"/>
          <w:lang w:eastAsia="zh-CN"/>
        </w:rPr>
        <w:t>福建省天海招标有限公司</w:t>
      </w:r>
    </w:p>
    <w:p>
      <w:pPr>
        <w:keepNext w:val="0"/>
        <w:keepLines w:val="0"/>
        <w:pageBreakBefore w:val="0"/>
        <w:kinsoku/>
        <w:overflowPunct/>
        <w:autoSpaceDE/>
        <w:autoSpaceDN/>
        <w:bidi w:val="0"/>
        <w:spacing w:line="360" w:lineRule="auto"/>
        <w:ind w:left="0" w:leftChars="0" w:firstLine="840" w:firstLineChars="350"/>
        <w:textAlignment w:val="auto"/>
        <w:outlineLvl w:val="9"/>
        <w:rPr>
          <w:rFonts w:hint="default" w:ascii="宋体" w:hAnsi="宋体" w:eastAsia="宋体" w:cs="宋体"/>
          <w:color w:val="auto"/>
          <w:sz w:val="24"/>
          <w:highlight w:val="none"/>
          <w:u w:val="none"/>
          <w:lang w:val="en-US" w:eastAsia="zh-CN"/>
        </w:rPr>
      </w:pPr>
      <w:r>
        <w:rPr>
          <w:rFonts w:hint="eastAsia" w:ascii="宋体" w:hAnsi="宋体" w:eastAsia="宋体" w:cs="宋体"/>
          <w:color w:val="auto"/>
          <w:sz w:val="24"/>
          <w:highlight w:val="none"/>
          <w:u w:val="none"/>
        </w:rPr>
        <w:t>地  址：</w:t>
      </w:r>
      <w:r>
        <w:rPr>
          <w:rFonts w:hint="eastAsia" w:ascii="宋体" w:hAnsi="宋体" w:eastAsia="宋体" w:cs="宋体"/>
          <w:color w:val="auto"/>
          <w:sz w:val="24"/>
          <w:highlight w:val="none"/>
          <w:u w:val="none"/>
          <w:lang w:eastAsia="zh-CN"/>
        </w:rPr>
        <w:t>福建省福州市鼓楼区湖东路</w:t>
      </w:r>
      <w:r>
        <w:rPr>
          <w:rFonts w:hint="eastAsia" w:ascii="宋体" w:hAnsi="宋体" w:eastAsia="宋体" w:cs="宋体"/>
          <w:color w:val="auto"/>
          <w:sz w:val="24"/>
          <w:highlight w:val="none"/>
          <w:u w:val="none"/>
          <w:lang w:val="en-US" w:eastAsia="zh-CN"/>
        </w:rPr>
        <w:t>99号标力大厦12层</w:t>
      </w:r>
      <w:r>
        <w:rPr>
          <w:rFonts w:hint="eastAsia" w:ascii="宋体" w:hAnsi="宋体" w:eastAsia="宋体" w:cs="宋体"/>
          <w:color w:val="auto"/>
          <w:sz w:val="24"/>
          <w:highlight w:val="none"/>
          <w:u w:val="none"/>
          <w:lang w:val="en-US" w:eastAsia="zh-CN"/>
        </w:rPr>
        <w:tab/>
      </w:r>
      <w:r>
        <w:rPr>
          <w:rFonts w:hint="eastAsia" w:ascii="宋体" w:hAnsi="宋体" w:eastAsia="宋体" w:cs="宋体"/>
          <w:color w:val="auto"/>
          <w:sz w:val="24"/>
          <w:highlight w:val="none"/>
          <w:u w:val="none"/>
          <w:lang w:val="en-US" w:eastAsia="zh-CN"/>
        </w:rPr>
        <w:tab/>
      </w:r>
    </w:p>
    <w:p>
      <w:pPr>
        <w:keepNext w:val="0"/>
        <w:keepLines w:val="0"/>
        <w:pageBreakBefore w:val="0"/>
        <w:tabs>
          <w:tab w:val="left" w:pos="3615"/>
        </w:tabs>
        <w:kinsoku/>
        <w:overflowPunct/>
        <w:autoSpaceDE/>
        <w:autoSpaceDN/>
        <w:bidi w:val="0"/>
        <w:spacing w:line="360" w:lineRule="auto"/>
        <w:ind w:left="0" w:leftChars="0" w:firstLine="840" w:firstLineChars="350"/>
        <w:textAlignment w:val="auto"/>
        <w:outlineLvl w:val="9"/>
        <w:rPr>
          <w:rFonts w:hint="default" w:ascii="宋体" w:hAnsi="宋体" w:eastAsia="宋体" w:cs="宋体"/>
          <w:color w:val="auto"/>
          <w:sz w:val="24"/>
          <w:highlight w:val="none"/>
          <w:u w:val="none"/>
          <w:lang w:val="en-US" w:eastAsia="zh-CN"/>
        </w:rPr>
      </w:pPr>
      <w:r>
        <w:rPr>
          <w:rFonts w:hint="eastAsia" w:ascii="宋体" w:hAnsi="宋体" w:eastAsia="宋体" w:cs="宋体"/>
          <w:color w:val="auto"/>
          <w:sz w:val="24"/>
          <w:highlight w:val="none"/>
          <w:u w:val="none"/>
        </w:rPr>
        <w:t>邮  编：</w:t>
      </w:r>
      <w:r>
        <w:rPr>
          <w:rFonts w:hint="eastAsia" w:ascii="宋体" w:hAnsi="宋体" w:eastAsia="宋体" w:cs="宋体"/>
          <w:color w:val="auto"/>
          <w:sz w:val="24"/>
          <w:highlight w:val="none"/>
          <w:u w:val="none"/>
          <w:lang w:val="en-US" w:eastAsia="zh-CN"/>
        </w:rPr>
        <w:t>350001</w:t>
      </w:r>
    </w:p>
    <w:p>
      <w:pPr>
        <w:keepNext w:val="0"/>
        <w:keepLines w:val="0"/>
        <w:pageBreakBefore w:val="0"/>
        <w:kinsoku/>
        <w:overflowPunct/>
        <w:autoSpaceDE/>
        <w:autoSpaceDN/>
        <w:bidi w:val="0"/>
        <w:spacing w:line="360" w:lineRule="auto"/>
        <w:ind w:left="0" w:leftChars="0" w:firstLine="840" w:firstLineChars="350"/>
        <w:textAlignment w:val="auto"/>
        <w:outlineLvl w:val="9"/>
        <w:rPr>
          <w:rFonts w:hint="default"/>
          <w:highlight w:val="none"/>
          <w:lang w:val="en-US" w:eastAsia="zh-CN"/>
        </w:rPr>
      </w:pPr>
      <w:r>
        <w:rPr>
          <w:rFonts w:hint="eastAsia" w:ascii="宋体" w:hAnsi="宋体" w:eastAsia="宋体" w:cs="宋体"/>
          <w:color w:val="auto"/>
          <w:sz w:val="24"/>
          <w:highlight w:val="none"/>
          <w:u w:val="none"/>
        </w:rPr>
        <w:t>电  话：</w:t>
      </w:r>
      <w:r>
        <w:rPr>
          <w:rFonts w:hint="eastAsia" w:ascii="宋体" w:hAnsi="宋体" w:eastAsia="宋体" w:cs="宋体"/>
          <w:color w:val="auto"/>
          <w:sz w:val="24"/>
          <w:highlight w:val="none"/>
          <w:u w:val="none"/>
          <w:lang w:val="en-US" w:eastAsia="zh-CN"/>
        </w:rPr>
        <w:t>0591-8787</w:t>
      </w:r>
      <w:r>
        <w:rPr>
          <w:rFonts w:hint="eastAsia" w:ascii="宋体" w:hAnsi="宋体" w:cs="宋体"/>
          <w:color w:val="auto"/>
          <w:sz w:val="24"/>
          <w:highlight w:val="none"/>
          <w:u w:val="none"/>
          <w:lang w:val="en-US" w:eastAsia="zh-CN"/>
        </w:rPr>
        <w:t>4767</w:t>
      </w:r>
      <w:r>
        <w:rPr>
          <w:rFonts w:hint="eastAsia" w:ascii="宋体" w:hAnsi="宋体" w:eastAsia="宋体" w:cs="宋体"/>
          <w:color w:val="auto"/>
          <w:sz w:val="24"/>
          <w:highlight w:val="none"/>
          <w:u w:val="none"/>
          <w:lang w:val="en-US" w:eastAsia="zh-CN"/>
        </w:rPr>
        <w:t xml:space="preserve">、0591-87623955（前台）      </w:t>
      </w:r>
    </w:p>
    <w:p>
      <w:pPr>
        <w:pStyle w:val="36"/>
        <w:keepNext w:val="0"/>
        <w:keepLines w:val="0"/>
        <w:pageBreakBefore w:val="0"/>
        <w:widowControl/>
        <w:suppressLineNumbers w:val="0"/>
        <w:kinsoku/>
        <w:overflowPunct/>
        <w:topLinePunct w:val="0"/>
        <w:autoSpaceDE/>
        <w:autoSpaceDN/>
        <w:bidi w:val="0"/>
        <w:adjustRightInd/>
        <w:snapToGrid/>
        <w:spacing w:before="0" w:beforeLines="0" w:beforeAutospacing="0" w:after="0" w:afterLines="0" w:afterAutospacing="0" w:line="360" w:lineRule="auto"/>
        <w:ind w:right="0"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cs="宋体"/>
          <w:color w:val="auto"/>
          <w:sz w:val="24"/>
          <w:highlight w:val="none"/>
          <w:u w:val="none"/>
          <w:lang w:val="en-US" w:eastAsia="zh-CN"/>
        </w:rPr>
        <w:t>8</w:t>
      </w:r>
      <w:r>
        <w:rPr>
          <w:rFonts w:hint="eastAsia" w:ascii="宋体" w:hAnsi="宋体" w:eastAsia="宋体" w:cs="宋体"/>
          <w:color w:val="auto"/>
          <w:sz w:val="24"/>
          <w:highlight w:val="none"/>
          <w:u w:val="none"/>
        </w:rPr>
        <w:t>、</w:t>
      </w:r>
      <w:r>
        <w:rPr>
          <w:rFonts w:hint="eastAsia" w:ascii="宋体" w:hAnsi="宋体" w:eastAsia="宋体" w:cs="宋体"/>
          <w:color w:val="auto"/>
          <w:spacing w:val="0"/>
          <w:sz w:val="24"/>
          <w:szCs w:val="24"/>
          <w:highlight w:val="none"/>
        </w:rPr>
        <w:t>保证金的银行账户信息</w:t>
      </w:r>
    </w:p>
    <w:tbl>
      <w:tblPr>
        <w:tblStyle w:val="40"/>
        <w:tblW w:w="9763" w:type="dxa"/>
        <w:jc w:val="center"/>
        <w:tblCellSpacing w:w="15"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76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jc w:val="center"/>
        </w:trPr>
        <w:tc>
          <w:tcPr>
            <w:tcW w:w="9703" w:type="dxa"/>
            <w:tcBorders>
              <w:top w:val="outset" w:color="000000" w:sz="6" w:space="0"/>
              <w:left w:val="outset" w:color="000000" w:sz="6" w:space="0"/>
              <w:bottom w:val="outset" w:color="000000" w:sz="6" w:space="0"/>
              <w:right w:val="outset" w:color="000000" w:sz="6" w:space="0"/>
            </w:tcBorders>
            <w:tcMar>
              <w:top w:w="0" w:type="dxa"/>
              <w:left w:w="105" w:type="dxa"/>
              <w:bottom w:w="0" w:type="dxa"/>
              <w:right w:w="105" w:type="dxa"/>
            </w:tcMar>
            <w:vAlign w:val="center"/>
          </w:tcPr>
          <w:p>
            <w:pPr>
              <w:keepNext w:val="0"/>
              <w:keepLines w:val="0"/>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auto"/>
                <w:kern w:val="0"/>
                <w:sz w:val="24"/>
                <w:highlight w:val="none"/>
                <w:lang w:eastAsia="zh-CN"/>
              </w:rPr>
            </w:pPr>
            <w:r>
              <w:rPr>
                <w:rFonts w:hint="eastAsia" w:ascii="宋体" w:hAnsi="宋体" w:eastAsia="宋体" w:cs="宋体"/>
                <w:b/>
                <w:bCs/>
                <w:color w:val="auto"/>
                <w:kern w:val="0"/>
                <w:sz w:val="24"/>
                <w:highlight w:val="none"/>
              </w:rPr>
              <w:t>账户</w:t>
            </w:r>
            <w:r>
              <w:rPr>
                <w:rFonts w:hint="eastAsia" w:ascii="宋体" w:hAnsi="宋体" w:cs="宋体"/>
                <w:b/>
                <w:bCs/>
                <w:color w:val="auto"/>
                <w:kern w:val="0"/>
                <w:sz w:val="24"/>
                <w:highlight w:val="none"/>
                <w:lang w:eastAsia="zh-CN"/>
              </w:rPr>
              <w:t>信息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jc w:val="center"/>
        </w:trPr>
        <w:tc>
          <w:tcPr>
            <w:tcW w:w="970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top"/>
          </w:tcPr>
          <w:p>
            <w:pPr>
              <w:keepNext w:val="0"/>
              <w:keepLines w:val="0"/>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开户名称：福建省天海招标有限公司</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jc w:val="center"/>
        </w:trPr>
        <w:tc>
          <w:tcPr>
            <w:tcW w:w="970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top"/>
          </w:tcPr>
          <w:p>
            <w:pPr>
              <w:keepNext w:val="0"/>
              <w:keepLines w:val="0"/>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开户银行：兴业银行总行营业部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jc w:val="center"/>
        </w:trPr>
        <w:tc>
          <w:tcPr>
            <w:tcW w:w="970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top"/>
          </w:tcPr>
          <w:p>
            <w:pPr>
              <w:keepNext w:val="0"/>
              <w:keepLines w:val="0"/>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银行账号：1170 1010 0100 1964 56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80" w:hRule="atLeast"/>
          <w:tblCellSpacing w:w="15" w:type="dxa"/>
          <w:jc w:val="center"/>
        </w:trPr>
        <w:tc>
          <w:tcPr>
            <w:tcW w:w="970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pPr>
              <w:keepNext w:val="0"/>
              <w:keepLines w:val="0"/>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t>特别提示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jc w:val="center"/>
        </w:trPr>
        <w:tc>
          <w:tcPr>
            <w:tcW w:w="970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top"/>
          </w:tcPr>
          <w:p>
            <w:pPr>
              <w:keepNext w:val="0"/>
              <w:keepLines w:val="0"/>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8.</w:t>
            </w:r>
            <w:r>
              <w:rPr>
                <w:rFonts w:hint="eastAsia" w:ascii="宋体" w:hAnsi="宋体" w:eastAsia="宋体" w:cs="宋体"/>
                <w:color w:val="auto"/>
                <w:kern w:val="0"/>
                <w:sz w:val="24"/>
                <w:highlight w:val="none"/>
              </w:rPr>
              <w:t>1</w:t>
            </w:r>
            <w:r>
              <w:rPr>
                <w:rFonts w:hint="eastAsia" w:ascii="宋体" w:hAnsi="宋体" w:cs="宋体"/>
                <w:color w:val="auto"/>
                <w:kern w:val="0"/>
                <w:sz w:val="24"/>
                <w:highlight w:val="none"/>
                <w:lang w:val="en-US" w:eastAsia="zh-CN"/>
              </w:rPr>
              <w:t xml:space="preserve"> </w:t>
            </w:r>
            <w:r>
              <w:rPr>
                <w:rFonts w:hint="eastAsia" w:ascii="宋体" w:hAnsi="宋体" w:eastAsia="宋体" w:cs="宋体"/>
                <w:color w:val="auto"/>
                <w:kern w:val="0"/>
                <w:sz w:val="24"/>
                <w:highlight w:val="none"/>
              </w:rPr>
              <w:t>投标人应认真核对账户信息，将投标保证金汇入以上账户，并自行承担因汇错投标保证金而产生的一切后果。</w:t>
            </w:r>
          </w:p>
          <w:p>
            <w:pPr>
              <w:keepNext w:val="0"/>
              <w:keepLines w:val="0"/>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8.</w:t>
            </w:r>
            <w:r>
              <w:rPr>
                <w:rFonts w:hint="eastAsia" w:ascii="宋体" w:hAnsi="宋体" w:eastAsia="宋体" w:cs="宋体"/>
                <w:color w:val="auto"/>
                <w:kern w:val="0"/>
                <w:sz w:val="24"/>
                <w:highlight w:val="none"/>
              </w:rPr>
              <w:t>2投标人在转账或电汇的凭证上应按照以下格式注明，以便核对：“（招标编号：***、</w:t>
            </w:r>
            <w:r>
              <w:rPr>
                <w:rFonts w:hint="eastAsia" w:ascii="宋体" w:hAnsi="宋体" w:eastAsia="宋体" w:cs="宋体"/>
                <w:color w:val="auto"/>
                <w:kern w:val="0"/>
                <w:sz w:val="24"/>
                <w:highlight w:val="none"/>
                <w:lang w:eastAsia="zh-CN"/>
              </w:rPr>
              <w:t>项目名称</w:t>
            </w:r>
            <w:r>
              <w:rPr>
                <w:rFonts w:hint="eastAsia" w:ascii="宋体" w:hAnsi="宋体" w:eastAsia="宋体" w:cs="宋体"/>
                <w:color w:val="auto"/>
                <w:kern w:val="0"/>
                <w:sz w:val="24"/>
                <w:highlight w:val="none"/>
              </w:rPr>
              <w:t>：***）的投标保证金”。</w:t>
            </w:r>
          </w:p>
        </w:tc>
      </w:tr>
    </w:tbl>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eastAsia="宋体" w:cs="宋体"/>
          <w:color w:val="auto"/>
          <w:sz w:val="24"/>
          <w:highlight w:val="none"/>
        </w:rPr>
        <w:t>、特别提示</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eastAsia="宋体" w:cs="宋体"/>
          <w:color w:val="auto"/>
          <w:sz w:val="24"/>
          <w:highlight w:val="none"/>
        </w:rPr>
        <w:t>.1潜在投标人已详细审查全部招标文件，包括修改文件(如有的话)和有关附件，将自行承担因对全部招标文件理解不正确或误解而产生的相应后果。</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eastAsia="宋体" w:cs="宋体"/>
          <w:color w:val="auto"/>
          <w:sz w:val="24"/>
          <w:highlight w:val="none"/>
        </w:rPr>
        <w:t>.2未在投标截止时间前送达的投标文件将被拒收。</w:t>
      </w:r>
    </w:p>
    <w:p>
      <w:pPr>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p>
    <w:p>
      <w:pPr>
        <w:keepNext w:val="0"/>
        <w:keepLines w:val="0"/>
        <w:pageBreakBefore w:val="0"/>
        <w:kinsoku/>
        <w:overflowPunct/>
        <w:autoSpaceDE/>
        <w:autoSpaceDN/>
        <w:bidi w:val="0"/>
        <w:spacing w:line="360" w:lineRule="auto"/>
        <w:ind w:left="0" w:leftChars="0" w:firstLine="0" w:firstLineChars="0"/>
        <w:jc w:val="center"/>
        <w:textAlignment w:val="auto"/>
        <w:outlineLvl w:val="1"/>
        <w:rPr>
          <w:rFonts w:hint="eastAsia" w:ascii="宋体" w:hAnsi="宋体" w:eastAsia="宋体" w:cs="宋体"/>
          <w:b/>
          <w:bCs/>
          <w:color w:val="auto"/>
          <w:sz w:val="36"/>
          <w:szCs w:val="36"/>
          <w:highlight w:val="none"/>
        </w:rPr>
      </w:pPr>
      <w:bookmarkStart w:id="30" w:name="_Toc31570489"/>
      <w:bookmarkStart w:id="31" w:name="_Toc24970"/>
      <w:bookmarkStart w:id="32" w:name="_Toc528140578"/>
      <w:bookmarkStart w:id="33" w:name="_Toc5317"/>
      <w:r>
        <w:rPr>
          <w:rFonts w:hint="eastAsia" w:ascii="宋体" w:hAnsi="宋体" w:cs="宋体"/>
          <w:b/>
          <w:bCs/>
          <w:color w:val="auto"/>
          <w:sz w:val="36"/>
          <w:szCs w:val="36"/>
          <w:highlight w:val="none"/>
          <w:lang w:eastAsia="zh-CN"/>
        </w:rPr>
        <w:t>二、</w:t>
      </w:r>
      <w:r>
        <w:rPr>
          <w:rFonts w:hint="eastAsia" w:ascii="宋体" w:hAnsi="宋体" w:eastAsia="宋体" w:cs="宋体"/>
          <w:b/>
          <w:bCs/>
          <w:color w:val="auto"/>
          <w:sz w:val="36"/>
          <w:szCs w:val="36"/>
          <w:highlight w:val="none"/>
        </w:rPr>
        <w:t>招标项目一览表</w:t>
      </w:r>
      <w:bookmarkEnd w:id="30"/>
      <w:bookmarkEnd w:id="31"/>
      <w:bookmarkEnd w:id="32"/>
      <w:bookmarkEnd w:id="33"/>
    </w:p>
    <w:tbl>
      <w:tblPr>
        <w:tblStyle w:val="40"/>
        <w:tblW w:w="9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850"/>
        <w:gridCol w:w="1458"/>
        <w:gridCol w:w="1100"/>
        <w:gridCol w:w="1512"/>
        <w:gridCol w:w="1288"/>
        <w:gridCol w:w="1163"/>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919"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合同包号</w:t>
            </w:r>
          </w:p>
        </w:tc>
        <w:tc>
          <w:tcPr>
            <w:tcW w:w="85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品目号</w:t>
            </w:r>
          </w:p>
        </w:tc>
        <w:tc>
          <w:tcPr>
            <w:tcW w:w="1458"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货物名称</w:t>
            </w:r>
          </w:p>
        </w:tc>
        <w:tc>
          <w:tcPr>
            <w:tcW w:w="110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数量</w:t>
            </w:r>
          </w:p>
        </w:tc>
        <w:tc>
          <w:tcPr>
            <w:tcW w:w="1512"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最高限价单价（万元）</w:t>
            </w:r>
          </w:p>
        </w:tc>
        <w:tc>
          <w:tcPr>
            <w:tcW w:w="1288"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最高限价(万元)</w:t>
            </w:r>
          </w:p>
        </w:tc>
        <w:tc>
          <w:tcPr>
            <w:tcW w:w="1163"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保证金（万元）</w:t>
            </w:r>
          </w:p>
        </w:tc>
        <w:tc>
          <w:tcPr>
            <w:tcW w:w="1482"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招标内容及要求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919"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1</w:t>
            </w:r>
          </w:p>
        </w:tc>
        <w:tc>
          <w:tcPr>
            <w:tcW w:w="850"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-1</w:t>
            </w:r>
          </w:p>
        </w:tc>
        <w:tc>
          <w:tcPr>
            <w:tcW w:w="1458"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eastAsia="zh-CN"/>
              </w:rPr>
              <w:t>转运</w:t>
            </w:r>
            <w:r>
              <w:rPr>
                <w:rFonts w:hint="eastAsia" w:ascii="宋体" w:hAnsi="宋体" w:eastAsia="宋体" w:cs="宋体"/>
                <w:color w:val="auto"/>
                <w:sz w:val="24"/>
                <w:highlight w:val="none"/>
              </w:rPr>
              <w:t>救护车</w:t>
            </w:r>
          </w:p>
        </w:tc>
        <w:tc>
          <w:tcPr>
            <w:tcW w:w="1100"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100辆</w:t>
            </w:r>
          </w:p>
        </w:tc>
        <w:tc>
          <w:tcPr>
            <w:tcW w:w="1512"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12.</w:t>
            </w:r>
            <w:r>
              <w:rPr>
                <w:rFonts w:hint="eastAsia" w:ascii="宋体" w:hAnsi="宋体" w:cs="宋体"/>
                <w:color w:val="auto"/>
                <w:sz w:val="24"/>
                <w:highlight w:val="none"/>
                <w:lang w:val="en-US" w:eastAsia="zh-CN"/>
              </w:rPr>
              <w:t>77</w:t>
            </w:r>
          </w:p>
        </w:tc>
        <w:tc>
          <w:tcPr>
            <w:tcW w:w="1288"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1277</w:t>
            </w:r>
          </w:p>
        </w:tc>
        <w:tc>
          <w:tcPr>
            <w:tcW w:w="1163"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25.54</w:t>
            </w:r>
          </w:p>
        </w:tc>
        <w:tc>
          <w:tcPr>
            <w:tcW w:w="1482"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详见第三章招标内容及要求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2" w:type="dxa"/>
            <w:gridSpan w:val="8"/>
            <w:vAlign w:val="center"/>
          </w:tcPr>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报价方式: 本次采购项目以人民币报价；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2" w:type="dxa"/>
            <w:gridSpan w:val="8"/>
            <w:vAlign w:val="center"/>
          </w:tcPr>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交货地点：采购人指定地点</w:t>
            </w:r>
            <w:r>
              <w:rPr>
                <w:rFonts w:hint="eastAsia" w:ascii="宋体" w:hAnsi="宋体" w:cs="宋体"/>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2" w:type="dxa"/>
            <w:gridSpan w:val="8"/>
            <w:vAlign w:val="center"/>
          </w:tcPr>
          <w:p>
            <w:pPr>
              <w:keepNext w:val="0"/>
              <w:keepLines w:val="0"/>
              <w:pageBreakBefore w:val="0"/>
              <w:kinsoku/>
              <w:overflowPunct/>
              <w:autoSpaceDE/>
              <w:autoSpaceDN/>
              <w:bidi w:val="0"/>
              <w:spacing w:line="360" w:lineRule="auto"/>
              <w:jc w:val="left"/>
              <w:textAlignment w:val="auto"/>
              <w:outlineLvl w:val="9"/>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eastAsia="zh-CN"/>
              </w:rPr>
              <w:t>交货时间：</w:t>
            </w:r>
            <w:r>
              <w:rPr>
                <w:rFonts w:hint="eastAsia" w:ascii="宋体" w:hAnsi="宋体" w:cs="宋体"/>
                <w:color w:val="auto"/>
                <w:sz w:val="24"/>
                <w:highlight w:val="none"/>
                <w:lang w:val="zh-CN" w:eastAsia="zh-CN"/>
              </w:rPr>
              <w:t>合同签订后</w:t>
            </w:r>
            <w:r>
              <w:rPr>
                <w:rFonts w:hint="eastAsia" w:ascii="宋体" w:hAnsi="宋体" w:cs="宋体"/>
                <w:color w:val="auto"/>
                <w:sz w:val="24"/>
                <w:highlight w:val="none"/>
                <w:lang w:val="en-US" w:eastAsia="zh-CN"/>
              </w:rPr>
              <w:t>10</w:t>
            </w:r>
            <w:r>
              <w:rPr>
                <w:rFonts w:hint="eastAsia" w:ascii="宋体" w:hAnsi="宋体" w:cs="宋体"/>
                <w:color w:val="auto"/>
                <w:sz w:val="24"/>
                <w:highlight w:val="none"/>
                <w:lang w:val="zh-CN" w:eastAsia="zh-CN"/>
              </w:rPr>
              <w:t>个工作日内整车交货（含</w:t>
            </w:r>
            <w:r>
              <w:rPr>
                <w:rFonts w:hint="eastAsia" w:ascii="宋体" w:hAnsi="宋体" w:cs="宋体"/>
                <w:color w:val="auto"/>
                <w:sz w:val="24"/>
                <w:highlight w:val="none"/>
                <w:lang w:val="en-US" w:eastAsia="zh-CN"/>
              </w:rPr>
              <w:t>车载医疗设备及信息系统</w:t>
            </w:r>
            <w:r>
              <w:rPr>
                <w:rFonts w:hint="eastAsia" w:ascii="宋体" w:hAnsi="宋体" w:cs="宋体"/>
                <w:color w:val="auto"/>
                <w:sz w:val="24"/>
                <w:highlight w:val="none"/>
                <w:lang w:val="zh-CN" w:eastAsia="zh-CN"/>
              </w:rPr>
              <w:t>安装完成）</w:t>
            </w:r>
            <w:r>
              <w:rPr>
                <w:rFonts w:hint="eastAsia" w:ascii="宋体" w:hAnsi="宋体" w:cs="宋体"/>
                <w:color w:val="auto"/>
                <w:sz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2" w:type="dxa"/>
            <w:gridSpan w:val="8"/>
            <w:vAlign w:val="center"/>
          </w:tcPr>
          <w:p>
            <w:pPr>
              <w:keepNext w:val="0"/>
              <w:keepLines w:val="0"/>
              <w:pageBreakBefore w:val="0"/>
              <w:kinsoku/>
              <w:overflowPunct/>
              <w:autoSpaceDE/>
              <w:autoSpaceDN/>
              <w:bidi w:val="0"/>
              <w:spacing w:line="360" w:lineRule="auto"/>
              <w:jc w:val="left"/>
              <w:textAlignment w:val="auto"/>
              <w:outlineLvl w:val="9"/>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其他要求：</w:t>
            </w:r>
          </w:p>
          <w:p>
            <w:pPr>
              <w:keepNext w:val="0"/>
              <w:keepLines w:val="0"/>
              <w:pageBreakBefore w:val="0"/>
              <w:kinsoku/>
              <w:overflowPunct/>
              <w:autoSpaceDE/>
              <w:autoSpaceDN/>
              <w:bidi w:val="0"/>
              <w:spacing w:line="360" w:lineRule="auto"/>
              <w:ind w:firstLine="480" w:firstLineChars="200"/>
              <w:jc w:val="left"/>
              <w:textAlignment w:val="auto"/>
              <w:outlineLvl w:val="9"/>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lang w:eastAsia="zh-CN"/>
              </w:rPr>
              <w:t>投标人按合同包投标，对同一个合同包内所有品目号内容投标时必须完整。不得仅对一个合同包中的部分货物进行投标，否则其投标将被拒绝。评标与授标以合同包为单位；</w:t>
            </w:r>
          </w:p>
          <w:p>
            <w:pPr>
              <w:keepNext w:val="0"/>
              <w:keepLines w:val="0"/>
              <w:pageBreakBefore w:val="0"/>
              <w:kinsoku/>
              <w:overflowPunct/>
              <w:autoSpaceDE/>
              <w:autoSpaceDN/>
              <w:bidi w:val="0"/>
              <w:spacing w:line="360" w:lineRule="auto"/>
              <w:ind w:firstLine="480" w:firstLineChars="200"/>
              <w:jc w:val="left"/>
              <w:textAlignment w:val="auto"/>
              <w:outlineLvl w:val="9"/>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2、本次招标项目的投标价格包含车身价、改装费、车载医疗设备及信息系统、随车设备费、包装费、安装调试费、运输费、培训费、技术服务费、质保期内的售后保障费用等所有费用</w:t>
            </w:r>
            <w:r>
              <w:rPr>
                <w:rFonts w:hint="eastAsia" w:ascii="宋体" w:hAnsi="宋体" w:cs="宋体"/>
                <w:color w:val="auto"/>
                <w:sz w:val="24"/>
                <w:highlight w:val="none"/>
                <w:lang w:eastAsia="zh-CN"/>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firstLine="420" w:firstLineChars="175"/>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3、</w:t>
            </w:r>
            <w:r>
              <w:rPr>
                <w:rFonts w:hint="eastAsia" w:ascii="宋体" w:hAnsi="宋体" w:eastAsia="宋体" w:cs="宋体"/>
                <w:sz w:val="24"/>
                <w:szCs w:val="24"/>
                <w:highlight w:val="none"/>
              </w:rPr>
              <w:t>中标人不得分包或转包他人，若发现分包或转包，采购人有权终止合同，并追究相应法律责任。中标人在合同期内未经采购人同意不得擅自中止合同。</w:t>
            </w:r>
          </w:p>
          <w:p>
            <w:pPr>
              <w:keepNext w:val="0"/>
              <w:keepLines w:val="0"/>
              <w:pageBreakBefore w:val="0"/>
              <w:kinsoku/>
              <w:overflowPunct/>
              <w:autoSpaceDE/>
              <w:autoSpaceDN/>
              <w:bidi w:val="0"/>
              <w:spacing w:line="360" w:lineRule="auto"/>
              <w:ind w:left="0" w:leftChars="0" w:firstLine="420" w:firstLineChars="175"/>
              <w:jc w:val="left"/>
              <w:textAlignment w:val="auto"/>
              <w:outlineLvl w:val="9"/>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lang w:eastAsia="zh-CN"/>
              </w:rPr>
              <w:t>投标人须注明所有投标设备（含随车配件）的产地、型号、品牌、厂家名称；</w:t>
            </w:r>
          </w:p>
          <w:p>
            <w:pPr>
              <w:keepNext w:val="0"/>
              <w:keepLines w:val="0"/>
              <w:pageBreakBefore w:val="0"/>
              <w:kinsoku/>
              <w:overflowPunct/>
              <w:autoSpaceDE/>
              <w:autoSpaceDN/>
              <w:bidi w:val="0"/>
              <w:spacing w:line="360" w:lineRule="auto"/>
              <w:ind w:left="0" w:leftChars="0" w:firstLine="420" w:firstLineChars="175"/>
              <w:jc w:val="left"/>
              <w:textAlignment w:val="auto"/>
              <w:outlineLvl w:val="9"/>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lang w:eastAsia="zh-CN"/>
              </w:rPr>
              <w:t>应提供随车常用工具、特殊工具或器械，其费用应包含在总价内；</w:t>
            </w:r>
          </w:p>
          <w:p>
            <w:pPr>
              <w:keepNext w:val="0"/>
              <w:keepLines w:val="0"/>
              <w:pageBreakBefore w:val="0"/>
              <w:kinsoku/>
              <w:overflowPunct/>
              <w:autoSpaceDE/>
              <w:autoSpaceDN/>
              <w:bidi w:val="0"/>
              <w:spacing w:line="360" w:lineRule="auto"/>
              <w:ind w:left="0" w:leftChars="0" w:firstLine="420" w:firstLineChars="175"/>
              <w:jc w:val="left"/>
              <w:textAlignment w:val="auto"/>
              <w:outlineLvl w:val="9"/>
              <w:rPr>
                <w:rFonts w:hint="eastAsia" w:ascii="宋体" w:hAnsi="宋体"/>
                <w:sz w:val="24"/>
                <w:szCs w:val="24"/>
                <w:highlight w:val="none"/>
                <w:lang w:eastAsia="zh-CN"/>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lang w:eastAsia="zh-CN"/>
              </w:rPr>
              <w:t>投标人报价时应按合同包品目号单价及总价进行报价。</w:t>
            </w:r>
          </w:p>
        </w:tc>
      </w:tr>
    </w:tbl>
    <w:p>
      <w:pPr>
        <w:pStyle w:val="38"/>
        <w:outlineLvl w:val="9"/>
        <w:rPr>
          <w:rFonts w:hint="eastAsia"/>
          <w:highlight w:val="none"/>
        </w:rPr>
      </w:pP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p>
    <w:p>
      <w:pPr>
        <w:rPr>
          <w:rFonts w:hint="eastAsia" w:ascii="宋体" w:hAnsi="宋体" w:eastAsia="宋体" w:cs="宋体"/>
          <w:b/>
          <w:color w:val="auto"/>
          <w:sz w:val="36"/>
          <w:highlight w:val="none"/>
        </w:rPr>
      </w:pPr>
      <w:bookmarkStart w:id="34" w:name="_Toc492718037"/>
      <w:r>
        <w:rPr>
          <w:rFonts w:hint="eastAsia" w:ascii="宋体" w:hAnsi="宋体" w:eastAsia="宋体" w:cs="宋体"/>
          <w:b/>
          <w:color w:val="auto"/>
          <w:sz w:val="36"/>
          <w:highlight w:val="none"/>
        </w:rPr>
        <w:br w:type="page"/>
      </w:r>
    </w:p>
    <w:p>
      <w:pPr>
        <w:keepNext w:val="0"/>
        <w:keepLines w:val="0"/>
        <w:pageBreakBefore w:val="0"/>
        <w:tabs>
          <w:tab w:val="left" w:pos="6930"/>
        </w:tabs>
        <w:kinsoku/>
        <w:overflowPunct/>
        <w:autoSpaceDE/>
        <w:autoSpaceDN/>
        <w:bidi w:val="0"/>
        <w:spacing w:line="360" w:lineRule="auto"/>
        <w:ind w:right="62"/>
        <w:jc w:val="center"/>
        <w:textAlignment w:val="auto"/>
        <w:outlineLvl w:val="0"/>
        <w:rPr>
          <w:rFonts w:hint="eastAsia" w:ascii="宋体" w:hAnsi="宋体" w:eastAsia="宋体" w:cs="宋体"/>
          <w:b/>
          <w:color w:val="auto"/>
          <w:sz w:val="24"/>
          <w:highlight w:val="none"/>
        </w:rPr>
      </w:pPr>
      <w:bookmarkStart w:id="35" w:name="_Toc9128"/>
      <w:r>
        <w:rPr>
          <w:rFonts w:hint="eastAsia" w:ascii="宋体" w:hAnsi="宋体" w:eastAsia="宋体" w:cs="宋体"/>
          <w:b/>
          <w:color w:val="auto"/>
          <w:sz w:val="36"/>
          <w:highlight w:val="none"/>
        </w:rPr>
        <w:t>第二章</w:t>
      </w:r>
      <w:r>
        <w:rPr>
          <w:rFonts w:hint="eastAsia" w:ascii="宋体" w:hAnsi="宋体" w:eastAsia="宋体" w:cs="宋体"/>
          <w:color w:val="auto"/>
          <w:sz w:val="24"/>
          <w:highlight w:val="none"/>
        </w:rPr>
        <w:t xml:space="preserve">  </w:t>
      </w:r>
      <w:r>
        <w:rPr>
          <w:rFonts w:hint="eastAsia" w:ascii="宋体" w:hAnsi="宋体" w:eastAsia="宋体" w:cs="宋体"/>
          <w:b/>
          <w:color w:val="auto"/>
          <w:sz w:val="36"/>
          <w:highlight w:val="none"/>
        </w:rPr>
        <w:t>投标人须知</w:t>
      </w:r>
      <w:bookmarkEnd w:id="34"/>
      <w:bookmarkEnd w:id="35"/>
    </w:p>
    <w:p>
      <w:pPr>
        <w:keepNext w:val="0"/>
        <w:keepLines w:val="0"/>
        <w:pageBreakBefore w:val="0"/>
        <w:kinsoku/>
        <w:overflowPunct/>
        <w:autoSpaceDE/>
        <w:autoSpaceDN/>
        <w:bidi w:val="0"/>
        <w:spacing w:line="360" w:lineRule="auto"/>
        <w:jc w:val="center"/>
        <w:textAlignment w:val="auto"/>
        <w:outlineLvl w:val="1"/>
        <w:rPr>
          <w:rFonts w:hint="eastAsia" w:ascii="宋体" w:hAnsi="宋体" w:eastAsia="宋体" w:cs="宋体"/>
          <w:b/>
          <w:color w:val="auto"/>
          <w:sz w:val="28"/>
          <w:szCs w:val="28"/>
          <w:highlight w:val="none"/>
        </w:rPr>
      </w:pPr>
      <w:bookmarkStart w:id="36" w:name="_Toc3312"/>
      <w:bookmarkStart w:id="37" w:name="_Toc492718038"/>
      <w:r>
        <w:rPr>
          <w:rFonts w:hint="eastAsia" w:ascii="宋体" w:hAnsi="宋体" w:eastAsia="宋体" w:cs="宋体"/>
          <w:b/>
          <w:color w:val="auto"/>
          <w:sz w:val="28"/>
          <w:szCs w:val="28"/>
          <w:highlight w:val="none"/>
        </w:rPr>
        <w:t>投标人须知前附表</w:t>
      </w:r>
      <w:bookmarkEnd w:id="36"/>
      <w:bookmarkEnd w:id="37"/>
    </w:p>
    <w:p>
      <w:pPr>
        <w:keepNext w:val="0"/>
        <w:keepLines w:val="0"/>
        <w:pageBreakBefore w:val="0"/>
        <w:kinsoku/>
        <w:overflowPunct/>
        <w:autoSpaceDE/>
        <w:autoSpaceDN/>
        <w:bidi w:val="0"/>
        <w:spacing w:line="360" w:lineRule="auto"/>
        <w:ind w:firstLine="525"/>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本须知前附表的条款号是与《投标人须知》中条款的项号相对应的。如果有矛盾的话，应以本须知前附表为准。 </w:t>
      </w:r>
    </w:p>
    <w:tbl>
      <w:tblPr>
        <w:tblStyle w:val="40"/>
        <w:tblW w:w="9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980"/>
        <w:gridCol w:w="8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项号</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条款号</w:t>
            </w:r>
          </w:p>
        </w:tc>
        <w:tc>
          <w:tcPr>
            <w:tcW w:w="8276"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1.1</w:t>
            </w:r>
          </w:p>
        </w:tc>
        <w:tc>
          <w:tcPr>
            <w:tcW w:w="8276" w:type="dxa"/>
            <w:vAlign w:val="top"/>
          </w:tcPr>
          <w:p>
            <w:pPr>
              <w:pStyle w:val="22"/>
              <w:keepNext w:val="0"/>
              <w:keepLines w:val="0"/>
              <w:pageBreakBefore w:val="0"/>
              <w:kinsoku/>
              <w:overflowPunct/>
              <w:autoSpaceDE/>
              <w:autoSpaceDN/>
              <w:bidi w:val="0"/>
              <w:spacing w:line="360" w:lineRule="auto"/>
              <w:ind w:left="1217" w:hanging="1216" w:hangingChars="507"/>
              <w:textAlignment w:val="auto"/>
              <w:outlineLvl w:val="9"/>
              <w:rPr>
                <w:rFonts w:hint="eastAsia" w:ascii="宋体" w:hAnsi="宋体" w:eastAsia="宋体" w:cs="宋体"/>
                <w:color w:val="auto"/>
                <w:sz w:val="32"/>
                <w:szCs w:val="32"/>
                <w:highlight w:val="none"/>
                <w:u w:val="none"/>
              </w:rPr>
            </w:pPr>
            <w:r>
              <w:rPr>
                <w:rFonts w:hint="eastAsia" w:ascii="宋体" w:hAnsi="宋体" w:eastAsia="宋体" w:cs="宋体"/>
                <w:color w:val="auto"/>
                <w:sz w:val="24"/>
                <w:szCs w:val="24"/>
                <w:highlight w:val="none"/>
              </w:rPr>
              <w:t>项目名称：</w:t>
            </w:r>
            <w:r>
              <w:rPr>
                <w:rFonts w:hint="eastAsia" w:ascii="宋体" w:hAnsi="宋体" w:cs="宋体"/>
                <w:color w:val="000000"/>
                <w:sz w:val="24"/>
                <w:szCs w:val="22"/>
                <w:highlight w:val="none"/>
                <w:u w:val="none"/>
                <w:lang w:val="en-US" w:eastAsia="zh-CN"/>
              </w:rPr>
              <w:t xml:space="preserve"> </w:t>
            </w:r>
            <w:r>
              <w:rPr>
                <w:rFonts w:hint="eastAsia" w:ascii="宋体" w:hAnsi="宋体" w:cs="宋体"/>
                <w:color w:val="000000"/>
                <w:sz w:val="24"/>
                <w:szCs w:val="22"/>
                <w:highlight w:val="none"/>
                <w:u w:val="none"/>
              </w:rPr>
              <w:t>福建省</w:t>
            </w:r>
            <w:r>
              <w:rPr>
                <w:rFonts w:hint="eastAsia" w:ascii="宋体" w:hAnsi="宋体" w:eastAsia="宋体" w:cs="宋体"/>
                <w:color w:val="000000"/>
                <w:sz w:val="24"/>
                <w:szCs w:val="22"/>
                <w:highlight w:val="none"/>
                <w:u w:val="none"/>
                <w:lang w:eastAsia="zh-CN"/>
              </w:rPr>
              <w:t>部分卫生院</w:t>
            </w:r>
            <w:r>
              <w:rPr>
                <w:rFonts w:hint="eastAsia" w:ascii="宋体" w:hAnsi="宋体" w:cs="宋体"/>
                <w:color w:val="000000"/>
                <w:sz w:val="24"/>
                <w:szCs w:val="22"/>
                <w:highlight w:val="none"/>
                <w:u w:val="none"/>
              </w:rPr>
              <w:t>新冠肺炎</w:t>
            </w:r>
            <w:r>
              <w:rPr>
                <w:rFonts w:hint="eastAsia" w:ascii="宋体" w:hAnsi="宋体" w:cs="宋体"/>
                <w:color w:val="000000"/>
                <w:sz w:val="24"/>
                <w:szCs w:val="22"/>
                <w:highlight w:val="none"/>
                <w:u w:val="none"/>
                <w:lang w:eastAsia="zh-CN"/>
              </w:rPr>
              <w:t>疫情</w:t>
            </w:r>
            <w:r>
              <w:rPr>
                <w:rFonts w:hint="eastAsia" w:ascii="宋体" w:hAnsi="宋体" w:cs="宋体"/>
                <w:color w:val="000000"/>
                <w:sz w:val="24"/>
                <w:szCs w:val="22"/>
                <w:highlight w:val="none"/>
                <w:u w:val="none"/>
              </w:rPr>
              <w:t>防治</w:t>
            </w:r>
            <w:r>
              <w:rPr>
                <w:rFonts w:hint="eastAsia" w:ascii="宋体" w:hAnsi="宋体" w:eastAsia="宋体" w:cs="宋体"/>
                <w:color w:val="000000"/>
                <w:sz w:val="24"/>
                <w:szCs w:val="22"/>
                <w:highlight w:val="none"/>
                <w:u w:val="none"/>
                <w:lang w:eastAsia="zh-CN"/>
              </w:rPr>
              <w:t>转运</w:t>
            </w:r>
            <w:r>
              <w:rPr>
                <w:rFonts w:hint="eastAsia" w:ascii="宋体" w:hAnsi="宋体" w:cs="宋体"/>
                <w:color w:val="000000"/>
                <w:sz w:val="24"/>
                <w:szCs w:val="22"/>
                <w:highlight w:val="none"/>
                <w:u w:val="none"/>
              </w:rPr>
              <w:t>救护车采购项目</w:t>
            </w:r>
            <w:r>
              <w:rPr>
                <w:rFonts w:hint="eastAsia" w:ascii="宋体" w:hAnsi="宋体" w:cs="宋体"/>
                <w:color w:val="000000"/>
                <w:sz w:val="24"/>
                <w:szCs w:val="22"/>
                <w:highlight w:val="none"/>
                <w:u w:val="none"/>
                <w:lang w:val="en-US" w:eastAsia="zh-CN"/>
              </w:rPr>
              <w:t xml:space="preserve"> </w:t>
            </w:r>
          </w:p>
          <w:p>
            <w:pPr>
              <w:pStyle w:val="22"/>
              <w:keepNext w:val="0"/>
              <w:keepLines w:val="0"/>
              <w:pageBreakBefore w:val="0"/>
              <w:kinsoku/>
              <w:overflowPunct/>
              <w:autoSpaceDE/>
              <w:autoSpaceDN/>
              <w:bidi w:val="0"/>
              <w:spacing w:line="360" w:lineRule="auto"/>
              <w:ind w:left="1217" w:hanging="1216" w:hangingChars="507"/>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名称：福建省卫生健康委员会</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招标要求：详见</w:t>
            </w:r>
            <w:r>
              <w:rPr>
                <w:rFonts w:hint="eastAsia" w:ascii="宋体" w:hAnsi="宋体" w:eastAsia="宋体" w:cs="宋体"/>
                <w:color w:val="auto"/>
                <w:sz w:val="24"/>
                <w:highlight w:val="none"/>
                <w:lang w:eastAsia="zh-CN"/>
              </w:rPr>
              <w:t>第三章招标内容及要求</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招标编号：</w:t>
            </w:r>
            <w:r>
              <w:rPr>
                <w:rFonts w:hint="eastAsia" w:ascii="宋体" w:hAnsi="宋体" w:eastAsia="宋体" w:cs="宋体"/>
                <w:color w:val="auto"/>
                <w:sz w:val="24"/>
                <w:szCs w:val="24"/>
                <w:highlight w:val="none"/>
                <w:lang w:eastAsia="zh-CN"/>
              </w:rPr>
              <w:t>FJTH-6020200426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3.1</w:t>
            </w:r>
          </w:p>
        </w:tc>
        <w:tc>
          <w:tcPr>
            <w:tcW w:w="8276" w:type="dxa"/>
            <w:vAlign w:val="center"/>
          </w:tcPr>
          <w:p>
            <w:pPr>
              <w:keepNext w:val="0"/>
              <w:keepLines w:val="0"/>
              <w:pageBreakBefore w:val="0"/>
              <w:kinsoku/>
              <w:overflowPunct/>
              <w:autoSpaceDE/>
              <w:autoSpaceDN/>
              <w:bidi w:val="0"/>
              <w:snapToGrid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3.1资格条件：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3.1.</w:t>
            </w:r>
            <w:r>
              <w:rPr>
                <w:rFonts w:hint="eastAsia" w:ascii="宋体" w:hAnsi="宋体" w:eastAsia="宋体" w:cs="宋体"/>
                <w:color w:val="auto"/>
                <w:sz w:val="24"/>
                <w:highlight w:val="none"/>
              </w:rPr>
              <w:t>1.凡有能力提供本招标文件所述货物</w:t>
            </w:r>
            <w:r>
              <w:rPr>
                <w:rFonts w:hint="eastAsia" w:ascii="宋体" w:hAnsi="宋体" w:cs="宋体"/>
                <w:color w:val="auto"/>
                <w:sz w:val="24"/>
                <w:highlight w:val="none"/>
                <w:lang w:eastAsia="zh-CN"/>
              </w:rPr>
              <w:t>及</w:t>
            </w:r>
            <w:r>
              <w:rPr>
                <w:rFonts w:hint="eastAsia" w:ascii="宋体" w:hAnsi="宋体" w:eastAsia="宋体" w:cs="宋体"/>
                <w:color w:val="auto"/>
                <w:sz w:val="24"/>
                <w:highlight w:val="none"/>
                <w:lang w:eastAsia="zh-CN"/>
              </w:rPr>
              <w:t>服务的生产厂商或经销商均可能成为合格的投标人。需提交以下证明文件：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（1）投标人合格</w:t>
            </w:r>
            <w:r>
              <w:rPr>
                <w:rFonts w:hint="eastAsia" w:ascii="宋体" w:hAnsi="宋体" w:eastAsia="宋体" w:cs="宋体"/>
                <w:color w:val="auto"/>
                <w:sz w:val="24"/>
                <w:highlight w:val="none"/>
                <w:lang w:eastAsia="zh-CN"/>
              </w:rPr>
              <w:t>的</w:t>
            </w:r>
            <w:r>
              <w:rPr>
                <w:rFonts w:hint="eastAsia" w:ascii="宋体" w:hAnsi="宋体" w:eastAsia="宋体" w:cs="宋体"/>
                <w:color w:val="auto"/>
                <w:sz w:val="24"/>
                <w:highlight w:val="none"/>
              </w:rPr>
              <w:t>营业执照复印件；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（2）法定代表人身份证（正反面的复印件）；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（3）投标代表人身份证（正反面的复印件）；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（4）法定代表人授权书原件(投标代表是法定代表人无需)</w:t>
            </w:r>
            <w:r>
              <w:rPr>
                <w:rFonts w:hint="eastAsia" w:ascii="宋体" w:hAnsi="宋体" w:eastAsia="宋体" w:cs="宋体"/>
                <w:color w:val="auto"/>
                <w:sz w:val="24"/>
                <w:highlight w:val="none"/>
                <w:lang w:eastAsia="zh-CN"/>
              </w:rPr>
              <w:t>。</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3.1.2.</w:t>
            </w:r>
            <w:r>
              <w:rPr>
                <w:rFonts w:hint="eastAsia" w:ascii="宋体" w:hAnsi="宋体" w:eastAsia="宋体" w:cs="宋体"/>
                <w:color w:val="auto"/>
                <w:sz w:val="24"/>
                <w:highlight w:val="none"/>
              </w:rPr>
              <w:t>投标人所投车辆应列入国家工信部《道路机动车辆生产企业及产品公告》目录清单内的产品，提供公告打印页复印件</w:t>
            </w:r>
            <w:r>
              <w:rPr>
                <w:rFonts w:hint="eastAsia" w:ascii="宋体" w:hAnsi="宋体" w:eastAsia="宋体" w:cs="宋体"/>
                <w:color w:val="auto"/>
                <w:sz w:val="24"/>
                <w:highlight w:val="none"/>
                <w:lang w:eastAsia="zh-CN"/>
              </w:rPr>
              <w:t>；</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3.1.3.</w:t>
            </w:r>
            <w:r>
              <w:rPr>
                <w:rFonts w:hint="eastAsia" w:ascii="宋体" w:hAnsi="宋体" w:eastAsia="宋体" w:cs="宋体"/>
                <w:color w:val="auto"/>
                <w:sz w:val="24"/>
                <w:highlight w:val="none"/>
              </w:rPr>
              <w:t>投标人应按照国内医疗行业管理的规定：投标第二类医疗器械的投标人必须提供备案证明资料或医疗器械经营许可证书复印件或医疗器械生产许可证书复印件。投标第三类医疗器械的投标人如是制造商，则必须提供医疗器械经营许可证书复印件或医疗器械生产许可证书复印件。投标第三类医疗器械的投标人如不是制造商，则必须提供医疗器械经营许可证书复印件。</w:t>
            </w:r>
          </w:p>
          <w:p>
            <w:pPr>
              <w:keepNext w:val="0"/>
              <w:keepLines w:val="0"/>
              <w:pageBreakBefore w:val="0"/>
              <w:kinsoku/>
              <w:overflowPunct/>
              <w:autoSpaceDE/>
              <w:autoSpaceDN/>
              <w:bidi w:val="0"/>
              <w:spacing w:line="360" w:lineRule="auto"/>
              <w:ind w:firstLine="480" w:firstLineChars="200"/>
              <w:textAlignment w:val="auto"/>
              <w:outlineLvl w:val="9"/>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3.1.4.</w:t>
            </w:r>
            <w:r>
              <w:rPr>
                <w:rFonts w:hint="eastAsia" w:ascii="宋体" w:hAnsi="宋体" w:eastAsia="宋体" w:cs="宋体"/>
                <w:color w:val="auto"/>
                <w:sz w:val="24"/>
                <w:highlight w:val="none"/>
              </w:rPr>
              <w:t>投标人所投的随车医疗设备应按照国内医疗行业管理的规定： 产品若为第一类提供所投第一类医疗器械的备案证明资料，或第一类医疗器械的医疗器械注册证及其附件（医疗器械产品注册登记表或医疗器械产品生产制造认可表）复印件，产品若为第二类或第三类提供所投第二类、第三类医疗器械的医疗器械注册证及其附件（医疗器械产品注册登记表或医疗器械产品生产制造认可表）复印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本项目不接受联合体投标</w:t>
            </w:r>
            <w:r>
              <w:rPr>
                <w:rFonts w:hint="eastAsia" w:ascii="宋体" w:hAnsi="宋体" w:eastAsia="宋体" w:cs="宋体"/>
                <w:color w:val="auto"/>
                <w:sz w:val="24"/>
                <w:highlight w:val="none"/>
                <w:lang w:eastAsia="zh-CN"/>
              </w:rPr>
              <w:t>。</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3.1.</w:t>
            </w:r>
            <w:r>
              <w:rPr>
                <w:rFonts w:hint="eastAsia" w:ascii="宋体" w:hAnsi="宋体" w:cs="宋体"/>
                <w:color w:val="auto"/>
                <w:sz w:val="24"/>
                <w:highlight w:val="none"/>
                <w:lang w:val="en-US" w:eastAsia="zh-CN"/>
              </w:rPr>
              <w:t>6</w:t>
            </w:r>
            <w:r>
              <w:rPr>
                <w:rFonts w:hint="eastAsia" w:ascii="宋体" w:hAnsi="宋体" w:eastAsia="宋体" w:cs="宋体"/>
                <w:color w:val="auto"/>
                <w:sz w:val="24"/>
                <w:highlight w:val="none"/>
              </w:rPr>
              <w:t>.参加</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活动前三年内无行贿犯罪记录的书面承诺（格式自拟）。</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3.1.</w:t>
            </w: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rPr>
              <w:t>.具备履行合同所必需的设备和专业技术能力的书面声明</w:t>
            </w:r>
            <w:r>
              <w:rPr>
                <w:rFonts w:hint="eastAsia" w:ascii="宋体" w:hAnsi="宋体" w:eastAsia="宋体" w:cs="宋体"/>
                <w:color w:val="auto"/>
                <w:sz w:val="24"/>
                <w:highlight w:val="none"/>
                <w:lang w:eastAsia="zh-CN"/>
              </w:rPr>
              <w:t>。</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3.1.</w:t>
            </w:r>
            <w:r>
              <w:rPr>
                <w:rFonts w:hint="eastAsia" w:ascii="宋体" w:hAnsi="宋体" w:cs="宋体"/>
                <w:color w:val="auto"/>
                <w:sz w:val="24"/>
                <w:highlight w:val="none"/>
                <w:lang w:val="en-US" w:eastAsia="zh-CN"/>
              </w:rPr>
              <w:t>8.</w:t>
            </w:r>
            <w:r>
              <w:rPr>
                <w:rFonts w:hint="eastAsia" w:ascii="宋体" w:hAnsi="宋体" w:eastAsia="宋体" w:cs="宋体"/>
                <w:color w:val="auto"/>
                <w:sz w:val="24"/>
                <w:highlight w:val="none"/>
              </w:rPr>
              <w:t>投标人需提供财务状况报告，依法缴纳税收和社会保障资金的相关材料：</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财务状况报告：提供会计师事务所出具的2019年度财务审计报告；或者提供开户许可证和投标截止时间前六个月内基本开户银行出具的资信证明；或者提供财政部门认可的政府采购专业担保机构出具的投标担保函；</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依法缴纳税收的相关材料：提供投标截止时间前六个月任一个月的依法缴纳税收的凭据；或者提供依法免税的相应证明文件；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依法缴纳社会保障资金的相关材料：提供投标截止时间前六个月任一个月的依法缴纳社会保障资金的凭据；或者提供依法不需要缴纳社会保障资金的相应证明文件。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3.1.</w:t>
            </w:r>
            <w:r>
              <w:rPr>
                <w:rFonts w:hint="eastAsia" w:ascii="宋体" w:hAnsi="宋体" w:cs="宋体"/>
                <w:color w:val="auto"/>
                <w:sz w:val="24"/>
                <w:highlight w:val="none"/>
                <w:lang w:val="en-US" w:eastAsia="zh-CN"/>
              </w:rPr>
              <w:t>9</w:t>
            </w:r>
            <w:r>
              <w:rPr>
                <w:rFonts w:hint="eastAsia" w:ascii="宋体" w:hAnsi="宋体" w:eastAsia="宋体" w:cs="宋体"/>
                <w:color w:val="auto"/>
                <w:sz w:val="24"/>
                <w:highlight w:val="none"/>
              </w:rPr>
              <w:t>.投标人需书面承诺近3年内在经营活动中没有重大违法记录的书面声明。投标人在投标截止时点前分别通过“信用中国”网站（www.creditchina.gov.cn）、中国政府采购网（www.ccgp.gov.cn）查询并打印相应的信用记录，投标人提供的查询结果应为其通过上述网站获取的信用信息查询结果原始页面的打印件（或截图）。</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注：以上相关资质证明文件应属法定有效期内的，若发生变更的，应按有关规定办理完变更手续后方可参加投标，并以发证机关核准的变更为准，否则按无效投标处理。其复印件应是清晰的并加盖投标人公章。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11.1</w:t>
            </w:r>
          </w:p>
        </w:tc>
        <w:tc>
          <w:tcPr>
            <w:tcW w:w="8276" w:type="dxa"/>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投标有效期：投标截止日结束后</w:t>
            </w:r>
            <w:r>
              <w:rPr>
                <w:rFonts w:hint="eastAsia" w:ascii="宋体" w:hAnsi="宋体" w:eastAsia="宋体" w:cs="宋体"/>
                <w:color w:val="auto"/>
                <w:sz w:val="24"/>
                <w:highlight w:val="none"/>
                <w:u w:val="single"/>
              </w:rPr>
              <w:t xml:space="preserve"> 90 </w:t>
            </w:r>
            <w:r>
              <w:rPr>
                <w:rFonts w:hint="eastAsia" w:ascii="宋体" w:hAnsi="宋体" w:eastAsia="宋体" w:cs="宋体"/>
                <w:color w:val="auto"/>
                <w:sz w:val="24"/>
                <w:highlight w:val="none"/>
              </w:rPr>
              <w:t>日历日。</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有效期不足将导致其投标文件被拒绝。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w:t>
            </w:r>
          </w:p>
        </w:tc>
        <w:tc>
          <w:tcPr>
            <w:tcW w:w="8276" w:type="dxa"/>
            <w:vAlign w:val="center"/>
          </w:tcPr>
          <w:p>
            <w:pPr>
              <w:keepNext w:val="0"/>
              <w:keepLines w:val="0"/>
              <w:pageBreakBefore w:val="0"/>
              <w:kinsoku/>
              <w:overflowPunct/>
              <w:autoSpaceDE/>
              <w:autoSpaceDN/>
              <w:bidi w:val="0"/>
              <w:spacing w:line="360" w:lineRule="auto"/>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投标文件递交地址：</w:t>
            </w:r>
            <w:r>
              <w:rPr>
                <w:rFonts w:hint="eastAsia" w:ascii="宋体" w:hAnsi="宋体" w:eastAsia="宋体" w:cs="宋体"/>
                <w:color w:val="auto"/>
                <w:sz w:val="24"/>
                <w:highlight w:val="none"/>
                <w:lang w:eastAsia="zh-CN"/>
              </w:rPr>
              <w:t>福建省福州市鼓楼区湖东路</w:t>
            </w:r>
            <w:r>
              <w:rPr>
                <w:rFonts w:hint="eastAsia" w:ascii="宋体" w:hAnsi="宋体" w:eastAsia="宋体" w:cs="宋体"/>
                <w:color w:val="auto"/>
                <w:sz w:val="24"/>
                <w:highlight w:val="none"/>
                <w:lang w:val="en-US" w:eastAsia="zh-CN"/>
              </w:rPr>
              <w:t>99号标力大厦12层</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接收人：</w:t>
            </w:r>
            <w:r>
              <w:rPr>
                <w:rFonts w:hint="eastAsia" w:ascii="宋体" w:hAnsi="宋体" w:eastAsia="宋体" w:cs="宋体"/>
                <w:color w:val="auto"/>
                <w:sz w:val="24"/>
                <w:highlight w:val="none"/>
                <w:lang w:eastAsia="zh-CN"/>
              </w:rPr>
              <w:t>福建省天海招标有限公司</w:t>
            </w:r>
            <w:r>
              <w:rPr>
                <w:rFonts w:hint="eastAsia" w:ascii="宋体" w:hAnsi="宋体" w:eastAsia="宋体" w:cs="宋体"/>
                <w:color w:val="auto"/>
                <w:sz w:val="24"/>
                <w:highlight w:val="none"/>
              </w:rPr>
              <w:t>工作人员</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投标截止时间：2020年</w:t>
            </w:r>
            <w:r>
              <w:rPr>
                <w:rFonts w:hint="eastAsia" w:ascii="宋体" w:hAnsi="宋体" w:cs="宋体"/>
                <w:color w:val="auto"/>
                <w:sz w:val="24"/>
                <w:highlight w:val="none"/>
                <w:lang w:val="en-US" w:eastAsia="zh-CN"/>
              </w:rPr>
              <w:t>05</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 xml:space="preserve">06 </w:t>
            </w:r>
            <w:r>
              <w:rPr>
                <w:rFonts w:hint="eastAsia" w:ascii="宋体" w:hAnsi="宋体" w:eastAsia="宋体" w:cs="宋体"/>
                <w:color w:val="auto"/>
                <w:sz w:val="24"/>
                <w:highlight w:val="none"/>
              </w:rPr>
              <w:t>日</w:t>
            </w:r>
            <w:r>
              <w:rPr>
                <w:rFonts w:hint="eastAsia" w:ascii="宋体" w:hAnsi="宋体" w:cs="宋体"/>
                <w:color w:val="auto"/>
                <w:sz w:val="24"/>
                <w:highlight w:val="none"/>
                <w:lang w:val="en-US" w:eastAsia="zh-CN"/>
              </w:rPr>
              <w:t xml:space="preserve"> 15：00</w:t>
            </w:r>
            <w:r>
              <w:rPr>
                <w:rFonts w:hint="eastAsia" w:ascii="宋体" w:hAnsi="宋体" w:eastAsia="宋体" w:cs="宋体"/>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w:t>
            </w:r>
          </w:p>
        </w:tc>
        <w:tc>
          <w:tcPr>
            <w:tcW w:w="8276" w:type="dxa"/>
            <w:vAlign w:val="center"/>
          </w:tcPr>
          <w:p>
            <w:pPr>
              <w:pStyle w:val="149"/>
              <w:keepNext w:val="0"/>
              <w:keepLines w:val="0"/>
              <w:pageBreakBefore w:val="0"/>
              <w:kinsoku/>
              <w:overflowPunct/>
              <w:autoSpaceDE/>
              <w:autoSpaceDN/>
              <w:bidi w:val="0"/>
              <w:adjustRightInd/>
              <w:spacing w:before="0" w:beforeLines="0" w:after="0" w:afterLines="0" w:line="360" w:lineRule="auto"/>
              <w:textAlignment w:val="auto"/>
              <w:outlineLvl w:val="9"/>
              <w:rPr>
                <w:rFonts w:hint="eastAsia" w:ascii="宋体" w:hAnsi="宋体" w:eastAsia="宋体" w:cs="宋体"/>
                <w:b w:val="0"/>
                <w:color w:val="auto"/>
                <w:szCs w:val="24"/>
                <w:highlight w:val="none"/>
              </w:rPr>
            </w:pPr>
            <w:r>
              <w:rPr>
                <w:rFonts w:hint="eastAsia" w:ascii="宋体" w:hAnsi="宋体" w:eastAsia="宋体" w:cs="宋体"/>
                <w:b w:val="0"/>
                <w:color w:val="auto"/>
                <w:szCs w:val="24"/>
                <w:highlight w:val="none"/>
              </w:rPr>
              <w:t>最高限价：</w:t>
            </w:r>
          </w:p>
          <w:p>
            <w:pPr>
              <w:pStyle w:val="149"/>
              <w:keepNext w:val="0"/>
              <w:keepLines w:val="0"/>
              <w:pageBreakBefore w:val="0"/>
              <w:kinsoku/>
              <w:overflowPunct/>
              <w:autoSpaceDE/>
              <w:autoSpaceDN/>
              <w:bidi w:val="0"/>
              <w:adjustRightInd/>
              <w:spacing w:before="0" w:beforeLines="0" w:after="0" w:afterLines="0"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b w:val="0"/>
                <w:color w:val="auto"/>
                <w:szCs w:val="24"/>
                <w:highlight w:val="none"/>
                <w:lang w:eastAsia="zh-CN"/>
              </w:rPr>
              <w:t>详见《</w:t>
            </w:r>
            <w:r>
              <w:rPr>
                <w:rFonts w:hint="eastAsia" w:ascii="宋体" w:hAnsi="宋体" w:eastAsia="宋体" w:cs="宋体"/>
                <w:b w:val="0"/>
                <w:color w:val="auto"/>
                <w:szCs w:val="24"/>
                <w:highlight w:val="none"/>
                <w:lang w:eastAsia="zh-CN"/>
              </w:rPr>
              <w:t>二、</w:t>
            </w:r>
            <w:r>
              <w:rPr>
                <w:rFonts w:hint="eastAsia" w:ascii="宋体" w:hAnsi="宋体" w:eastAsia="宋体" w:cs="宋体"/>
                <w:b w:val="0"/>
                <w:color w:val="auto"/>
                <w:szCs w:val="24"/>
                <w:highlight w:val="none"/>
              </w:rPr>
              <w:t>招标项目一览表</w:t>
            </w:r>
            <w:r>
              <w:rPr>
                <w:rFonts w:hint="eastAsia" w:ascii="宋体" w:hAnsi="宋体" w:cs="宋体"/>
                <w:b w:val="0"/>
                <w:color w:val="auto"/>
                <w:szCs w:val="24"/>
                <w:highlight w:val="none"/>
                <w:lang w:eastAsia="zh-CN"/>
              </w:rPr>
              <w:t>》，</w:t>
            </w:r>
            <w:r>
              <w:rPr>
                <w:rFonts w:hint="eastAsia" w:ascii="宋体" w:hAnsi="宋体" w:eastAsia="宋体" w:cs="宋体"/>
                <w:b w:val="0"/>
                <w:color w:val="auto"/>
                <w:szCs w:val="24"/>
                <w:highlight w:val="none"/>
              </w:rPr>
              <w:t>投标人超过最高限价的报价为无效报价。根据《中华人民共和国价格法》第六条、第十八条规定，投标人依法有权自主制定属于市场调节的价格，有权根据企业的生产经营成本等自身情况和市场供求状况等外部因素自主定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6</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12.2</w:t>
            </w:r>
          </w:p>
        </w:tc>
        <w:tc>
          <w:tcPr>
            <w:tcW w:w="8276" w:type="dxa"/>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b/>
                <w:bCs/>
                <w:color w:val="auto"/>
                <w:sz w:val="24"/>
                <w:highlight w:val="none"/>
                <w:lang w:eastAsia="zh-CN"/>
              </w:rPr>
            </w:pPr>
            <w:r>
              <w:rPr>
                <w:rFonts w:hint="eastAsia" w:ascii="宋体" w:hAnsi="宋体" w:eastAsia="宋体" w:cs="宋体"/>
                <w:b/>
                <w:bCs/>
                <w:color w:val="auto"/>
                <w:sz w:val="24"/>
                <w:highlight w:val="none"/>
                <w:lang w:eastAsia="zh-CN"/>
              </w:rPr>
              <w:t>投标保证金：人民币</w:t>
            </w:r>
            <w:r>
              <w:rPr>
                <w:rFonts w:hint="eastAsia" w:ascii="宋体" w:hAnsi="宋体" w:eastAsia="宋体" w:cs="宋体"/>
                <w:b/>
                <w:bCs/>
                <w:color w:val="auto"/>
                <w:sz w:val="24"/>
                <w:highlight w:val="none"/>
                <w:lang w:val="en-US" w:eastAsia="zh-CN"/>
              </w:rPr>
              <w:fldChar w:fldCharType="begin"/>
            </w:r>
            <w:r>
              <w:rPr>
                <w:rFonts w:hint="eastAsia" w:ascii="宋体" w:hAnsi="宋体" w:eastAsia="宋体" w:cs="宋体"/>
                <w:b/>
                <w:bCs/>
                <w:color w:val="auto"/>
                <w:sz w:val="24"/>
                <w:highlight w:val="none"/>
                <w:lang w:val="en-US" w:eastAsia="zh-CN"/>
              </w:rPr>
              <w:instrText xml:space="preserve"> = 255400 \* CHINESENUM2 \* MERGEFORMAT </w:instrText>
            </w:r>
            <w:r>
              <w:rPr>
                <w:rFonts w:hint="eastAsia" w:ascii="宋体" w:hAnsi="宋体" w:eastAsia="宋体" w:cs="宋体"/>
                <w:b/>
                <w:bCs/>
                <w:color w:val="auto"/>
                <w:sz w:val="24"/>
                <w:highlight w:val="none"/>
                <w:lang w:val="en-US" w:eastAsia="zh-CN"/>
              </w:rPr>
              <w:fldChar w:fldCharType="separate"/>
            </w:r>
            <w:r>
              <w:rPr>
                <w:rFonts w:hint="eastAsia" w:ascii="宋体" w:hAnsi="宋体" w:eastAsia="宋体" w:cs="宋体"/>
                <w:b/>
                <w:bCs/>
                <w:color w:val="auto"/>
                <w:sz w:val="24"/>
                <w:highlight w:val="none"/>
                <w:lang w:eastAsia="zh-CN"/>
              </w:rPr>
              <w:t>贰拾伍万伍仟肆佰</w:t>
            </w:r>
            <w:r>
              <w:rPr>
                <w:rFonts w:hint="eastAsia" w:ascii="宋体" w:hAnsi="宋体" w:eastAsia="宋体" w:cs="宋体"/>
                <w:b/>
                <w:bCs/>
                <w:color w:val="auto"/>
                <w:sz w:val="24"/>
                <w:highlight w:val="none"/>
                <w:lang w:val="en-US" w:eastAsia="zh-CN"/>
              </w:rPr>
              <w:fldChar w:fldCharType="end"/>
            </w:r>
            <w:r>
              <w:rPr>
                <w:rFonts w:hint="eastAsia" w:ascii="宋体" w:hAnsi="宋体" w:eastAsia="宋体" w:cs="宋体"/>
                <w:b/>
                <w:bCs/>
                <w:color w:val="auto"/>
                <w:sz w:val="24"/>
                <w:highlight w:val="none"/>
                <w:lang w:eastAsia="zh-CN"/>
              </w:rPr>
              <w:t>元整（￥</w:t>
            </w:r>
            <w:r>
              <w:rPr>
                <w:rFonts w:hint="eastAsia" w:ascii="宋体" w:hAnsi="宋体" w:eastAsia="宋体" w:cs="宋体"/>
                <w:b/>
                <w:bCs/>
                <w:color w:val="auto"/>
                <w:sz w:val="24"/>
                <w:highlight w:val="none"/>
                <w:lang w:val="en-US" w:eastAsia="zh-CN"/>
              </w:rPr>
              <w:t>255400元</w:t>
            </w:r>
            <w:r>
              <w:rPr>
                <w:rFonts w:hint="eastAsia" w:ascii="宋体" w:hAnsi="宋体" w:eastAsia="宋体" w:cs="宋体"/>
                <w:b/>
                <w:bCs/>
                <w:color w:val="auto"/>
                <w:sz w:val="24"/>
                <w:highlight w:val="none"/>
                <w:lang w:eastAsia="zh-CN"/>
              </w:rPr>
              <w:t>）</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 xml:space="preserve">    投标保证金须以公司名义以支票、汇票、转账等非现金形式提交，不直接接受现金、现金存款，以投标截止时间前到达本公司账户为准。投标人未按照招标文件上述要求提交投标保证金的，投标无效。投标人在缴纳保证金时需在汇款用途或摘要栏上注明所投项目的招标编号或项目名称。</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 xml:space="preserve">    退保证金手续：如为中标人，需将所签订的合同原件以及《退回投标保证金的申请函》送到我司后方给予办理退还投标保证金；如未中标，依相关规定可以退回时，则请将《退回投标保证金的申请函》送达我司后给予办理退还投标保证金。</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b/>
                <w:bCs/>
                <w:color w:val="auto"/>
                <w:sz w:val="24"/>
                <w:highlight w:val="none"/>
                <w:lang w:eastAsia="zh-CN"/>
              </w:rPr>
              <w:t>投标人缴交投标保证金专用账户：</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 xml:space="preserve">    户</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名：福建省天海招标有限公司</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账</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号：1170 1010 0100 1964 56</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开户行：兴业银行总行营业部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7</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w:t>
            </w:r>
          </w:p>
        </w:tc>
        <w:tc>
          <w:tcPr>
            <w:tcW w:w="8276" w:type="dxa"/>
            <w:vAlign w:val="center"/>
          </w:tcPr>
          <w:p>
            <w:pPr>
              <w:keepNext w:val="0"/>
              <w:keepLines w:val="0"/>
              <w:pageBreakBefore w:val="0"/>
              <w:numPr>
                <w:ilvl w:val="0"/>
                <w:numId w:val="0"/>
              </w:numPr>
              <w:kinsoku/>
              <w:overflowPunct/>
              <w:autoSpaceDE/>
              <w:autoSpaceDN/>
              <w:bidi w:val="0"/>
              <w:spacing w:line="360" w:lineRule="auto"/>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招标代理服务费：本项目的招标代理服务费(中标服务费)向</w:t>
            </w:r>
            <w:r>
              <w:rPr>
                <w:rFonts w:hint="eastAsia" w:ascii="宋体" w:hAnsi="宋体" w:eastAsia="宋体" w:cs="宋体"/>
                <w:color w:val="auto"/>
                <w:sz w:val="24"/>
                <w:highlight w:val="none"/>
                <w:lang w:eastAsia="zh-CN"/>
              </w:rPr>
              <w:t>中标人收取</w:t>
            </w:r>
            <w:r>
              <w:rPr>
                <w:rFonts w:hint="eastAsia" w:ascii="宋体" w:hAnsi="宋体" w:eastAsia="宋体" w:cs="宋体"/>
                <w:color w:val="auto"/>
                <w:sz w:val="24"/>
                <w:highlight w:val="none"/>
              </w:rPr>
              <w:t>。</w:t>
            </w:r>
          </w:p>
          <w:p>
            <w:pPr>
              <w:keepNext w:val="0"/>
              <w:keepLines w:val="0"/>
              <w:pageBreakBefore w:val="0"/>
              <w:numPr>
                <w:ilvl w:val="0"/>
                <w:numId w:val="0"/>
              </w:numPr>
              <w:kinsoku/>
              <w:overflowPunct/>
              <w:autoSpaceDE/>
              <w:autoSpaceDN/>
              <w:bidi w:val="0"/>
              <w:spacing w:line="360" w:lineRule="auto"/>
              <w:ind w:firstLine="240" w:firstLineChars="1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1</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招标代理服务费收取标准：</w:t>
            </w:r>
            <w:r>
              <w:rPr>
                <w:rFonts w:hint="eastAsia" w:ascii="宋体" w:hAnsi="宋体" w:eastAsia="宋体" w:cs="宋体"/>
                <w:color w:val="auto"/>
                <w:sz w:val="24"/>
                <w:highlight w:val="none"/>
                <w:lang w:eastAsia="zh-CN"/>
              </w:rPr>
              <w:t>本次招标代理服务费以项目总价为计费</w:t>
            </w:r>
            <w:r>
              <w:rPr>
                <w:rFonts w:hint="eastAsia" w:ascii="宋体" w:hAnsi="宋体" w:cs="宋体"/>
                <w:color w:val="auto"/>
                <w:sz w:val="24"/>
                <w:highlight w:val="none"/>
                <w:lang w:eastAsia="zh-CN"/>
              </w:rPr>
              <w:t>基准</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按合同包的合同总额</w:t>
            </w:r>
            <w:r>
              <w:rPr>
                <w:rFonts w:hint="eastAsia" w:ascii="宋体" w:hAnsi="宋体" w:cs="宋体"/>
                <w:color w:val="auto"/>
                <w:sz w:val="24"/>
                <w:highlight w:val="none"/>
                <w:lang w:eastAsia="zh-CN"/>
              </w:rPr>
              <w:t>下浮</w:t>
            </w:r>
            <w:r>
              <w:rPr>
                <w:rFonts w:hint="eastAsia" w:ascii="宋体" w:hAnsi="宋体" w:cs="宋体"/>
                <w:color w:val="auto"/>
                <w:sz w:val="24"/>
                <w:highlight w:val="none"/>
                <w:lang w:val="en-US" w:eastAsia="zh-CN"/>
              </w:rPr>
              <w:t>30%</w:t>
            </w:r>
            <w:r>
              <w:rPr>
                <w:rFonts w:hint="eastAsia" w:ascii="宋体" w:hAnsi="宋体" w:eastAsia="宋体" w:cs="宋体"/>
                <w:color w:val="auto"/>
                <w:sz w:val="24"/>
                <w:highlight w:val="none"/>
              </w:rPr>
              <w:t>收取，具体计算公式如下：</w:t>
            </w:r>
          </w:p>
          <w:p>
            <w:pPr>
              <w:keepNext w:val="0"/>
              <w:keepLines w:val="0"/>
              <w:pageBreakBefore w:val="0"/>
              <w:numPr>
                <w:ilvl w:val="0"/>
                <w:numId w:val="0"/>
              </w:numPr>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100万元以下部分的代理费按1.</w:t>
            </w:r>
            <w:r>
              <w:rPr>
                <w:rFonts w:hint="eastAsia" w:ascii="宋体" w:hAnsi="宋体" w:cs="宋体"/>
                <w:color w:val="auto"/>
                <w:sz w:val="24"/>
                <w:highlight w:val="none"/>
                <w:lang w:val="en-US" w:eastAsia="zh-CN"/>
              </w:rPr>
              <w:t>05</w:t>
            </w:r>
            <w:r>
              <w:rPr>
                <w:rFonts w:hint="eastAsia" w:ascii="宋体" w:hAnsi="宋体" w:eastAsia="宋体" w:cs="宋体"/>
                <w:color w:val="auto"/>
                <w:sz w:val="24"/>
                <w:highlight w:val="none"/>
              </w:rPr>
              <w:t>%收取；</w:t>
            </w:r>
          </w:p>
          <w:p>
            <w:pPr>
              <w:keepNext w:val="0"/>
              <w:keepLines w:val="0"/>
              <w:pageBreakBefore w:val="0"/>
              <w:numPr>
                <w:ilvl w:val="0"/>
                <w:numId w:val="0"/>
              </w:numPr>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100-500万元部分的代理费按</w:t>
            </w:r>
            <w:r>
              <w:rPr>
                <w:rFonts w:hint="eastAsia" w:ascii="宋体" w:hAnsi="宋体" w:cs="宋体"/>
                <w:color w:val="auto"/>
                <w:sz w:val="24"/>
                <w:highlight w:val="none"/>
                <w:lang w:val="en-US" w:eastAsia="zh-CN"/>
              </w:rPr>
              <w:t>0.77</w:t>
            </w:r>
            <w:r>
              <w:rPr>
                <w:rFonts w:hint="eastAsia" w:ascii="宋体" w:hAnsi="宋体" w:eastAsia="宋体" w:cs="宋体"/>
                <w:color w:val="auto"/>
                <w:sz w:val="24"/>
                <w:highlight w:val="none"/>
              </w:rPr>
              <w:t>%收取；</w:t>
            </w:r>
          </w:p>
          <w:p>
            <w:pPr>
              <w:keepNext w:val="0"/>
              <w:keepLines w:val="0"/>
              <w:pageBreakBefore w:val="0"/>
              <w:numPr>
                <w:ilvl w:val="0"/>
                <w:numId w:val="0"/>
              </w:numPr>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500-1000万元部分的代理费按0.</w:t>
            </w:r>
            <w:r>
              <w:rPr>
                <w:rFonts w:hint="eastAsia" w:ascii="宋体" w:hAnsi="宋体" w:cs="宋体"/>
                <w:color w:val="auto"/>
                <w:sz w:val="24"/>
                <w:highlight w:val="none"/>
                <w:lang w:val="en-US" w:eastAsia="zh-CN"/>
              </w:rPr>
              <w:t>56</w:t>
            </w:r>
            <w:r>
              <w:rPr>
                <w:rFonts w:hint="eastAsia" w:ascii="宋体" w:hAnsi="宋体" w:eastAsia="宋体" w:cs="宋体"/>
                <w:color w:val="auto"/>
                <w:sz w:val="24"/>
                <w:highlight w:val="none"/>
              </w:rPr>
              <w:t>%收取；</w:t>
            </w:r>
          </w:p>
          <w:p>
            <w:pPr>
              <w:keepNext w:val="0"/>
              <w:keepLines w:val="0"/>
              <w:pageBreakBefore w:val="0"/>
              <w:numPr>
                <w:ilvl w:val="0"/>
                <w:numId w:val="0"/>
              </w:numPr>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1000-5000万元部分的代理费按0.</w:t>
            </w:r>
            <w:r>
              <w:rPr>
                <w:rFonts w:hint="eastAsia" w:ascii="宋体" w:hAnsi="宋体" w:cs="宋体"/>
                <w:color w:val="auto"/>
                <w:sz w:val="24"/>
                <w:highlight w:val="none"/>
                <w:lang w:val="en-US" w:eastAsia="zh-CN"/>
              </w:rPr>
              <w:t>35</w:t>
            </w:r>
            <w:r>
              <w:rPr>
                <w:rFonts w:hint="eastAsia" w:ascii="宋体" w:hAnsi="宋体" w:eastAsia="宋体" w:cs="宋体"/>
                <w:color w:val="auto"/>
                <w:sz w:val="24"/>
                <w:highlight w:val="none"/>
              </w:rPr>
              <w:t>%收取；</w:t>
            </w:r>
          </w:p>
          <w:p>
            <w:pPr>
              <w:keepNext w:val="0"/>
              <w:keepLines w:val="0"/>
              <w:pageBreakBefore w:val="0"/>
              <w:kinsoku/>
              <w:overflowPunct/>
              <w:autoSpaceDE/>
              <w:autoSpaceDN/>
              <w:bidi w:val="0"/>
              <w:spacing w:line="360" w:lineRule="auto"/>
              <w:ind w:firstLine="240" w:firstLineChars="1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2</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招标代理服务费收取方式：中标人应在领取中标通知书的同时一次性向招标代理机构缴清招标代理服务费。招标代理服务费以银行转账、电汇、汇票或现金等付款方式。</w:t>
            </w:r>
          </w:p>
          <w:p>
            <w:pPr>
              <w:keepNext w:val="0"/>
              <w:keepLines w:val="0"/>
              <w:pageBreakBefore w:val="0"/>
              <w:kinsoku/>
              <w:overflowPunct/>
              <w:autoSpaceDE/>
              <w:autoSpaceDN/>
              <w:bidi w:val="0"/>
              <w:spacing w:line="360" w:lineRule="auto"/>
              <w:ind w:firstLine="240" w:firstLineChars="1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)招标代理服务费缴交银行帐号：</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开户银行：中国建行银行股份有限公司漳州分行</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开户名称：福建省天海招标有限公司漳州分公司</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 xml:space="preserve">       帐    号： 3505 0166 2433 0000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8</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23.1</w:t>
            </w:r>
          </w:p>
        </w:tc>
        <w:tc>
          <w:tcPr>
            <w:tcW w:w="8276" w:type="dxa"/>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招标项目监督部门：</w:t>
            </w:r>
            <w:r>
              <w:rPr>
                <w:rFonts w:hint="eastAsia" w:ascii="宋体" w:hAnsi="宋体" w:cs="宋体"/>
                <w:color w:val="auto"/>
                <w:sz w:val="24"/>
                <w:highlight w:val="none"/>
                <w:lang w:eastAsia="zh-CN"/>
              </w:rPr>
              <w:t>采购方监督部门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9</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19.1</w:t>
            </w:r>
          </w:p>
        </w:tc>
        <w:tc>
          <w:tcPr>
            <w:tcW w:w="8276" w:type="dxa"/>
            <w:vAlign w:val="center"/>
          </w:tcPr>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评标方法、评标标准和废标条款：详见附件A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44" w:type="dxa"/>
            <w:vAlign w:val="center"/>
          </w:tcPr>
          <w:p>
            <w:pPr>
              <w:keepNext w:val="0"/>
              <w:keepLines w:val="0"/>
              <w:pageBreakBefore w:val="0"/>
              <w:kinsoku/>
              <w:overflowPunct/>
              <w:autoSpaceDE/>
              <w:autoSpaceDN/>
              <w:bidi w:val="0"/>
              <w:spacing w:line="360" w:lineRule="auto"/>
              <w:jc w:val="left"/>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10</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w:t>
            </w:r>
          </w:p>
        </w:tc>
        <w:tc>
          <w:tcPr>
            <w:tcW w:w="8276" w:type="dxa"/>
            <w:vAlign w:val="center"/>
          </w:tcPr>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重大偏差与细微偏差：</w:t>
            </w:r>
          </w:p>
          <w:p>
            <w:pPr>
              <w:keepNext w:val="0"/>
              <w:keepLines w:val="0"/>
              <w:pageBreakBefore w:val="0"/>
              <w:kinsoku/>
              <w:overflowPunct/>
              <w:autoSpaceDE/>
              <w:autoSpaceDN/>
              <w:bidi w:val="0"/>
              <w:spacing w:line="360" w:lineRule="auto"/>
              <w:ind w:firstLine="480" w:firstLineChars="200"/>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以下为重大偏差与细微偏差的条款，请各投标人认真审阅。</w:t>
            </w:r>
          </w:p>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1．重大偏差：</w:t>
            </w:r>
          </w:p>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（1）投标文件未按招标文件要求加盖公章并由法定代表人或其书面授权的代理人签字的；</w:t>
            </w:r>
          </w:p>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（2）投标文件载明的招标项目完成期限超过招标文件规定的；</w:t>
            </w:r>
          </w:p>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（3）明显不符合技术规格、技术标准的要求；</w:t>
            </w:r>
          </w:p>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（4）投标文件载明的货物包装方式、检验标准和方法、产品配置等不符合招标文件的要求；</w:t>
            </w:r>
          </w:p>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（5）投标文件中附有</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不能接受的条件；</w:t>
            </w:r>
          </w:p>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（6）不符合招标文件中规定的其他实质性条款；</w:t>
            </w:r>
          </w:p>
          <w:p>
            <w:pPr>
              <w:keepNext w:val="0"/>
              <w:keepLines w:val="0"/>
              <w:pageBreakBefore w:val="0"/>
              <w:kinsoku/>
              <w:overflowPunct/>
              <w:autoSpaceDE/>
              <w:autoSpaceDN/>
              <w:bidi w:val="0"/>
              <w:spacing w:line="360" w:lineRule="auto"/>
              <w:ind w:firstLine="482" w:firstLineChars="200"/>
              <w:jc w:val="left"/>
              <w:textAlignment w:val="auto"/>
              <w:outlineLvl w:val="9"/>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注：投标人的投标文件若有上述情形之一的，认定为未对招标文件作出实质性响应，作无效投标处理。</w:t>
            </w:r>
          </w:p>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细微偏差：投标文件在实质上响应招标文件要求，但在个别地方存在漏项或者提供了不完整的技术信息和数据等情况，并且补正这些遗漏或者不完整不会对其他投标人造成不公平的结果。细微偏差不影响投标文件的有效性，如：（1）有明显文字和计算错误的内容；（2）同类问题出现前后文字表述不一致；（3）含义不明确的表述。</w:t>
            </w:r>
          </w:p>
          <w:p>
            <w:pPr>
              <w:keepNext w:val="0"/>
              <w:keepLines w:val="0"/>
              <w:pageBreakBefore w:val="0"/>
              <w:kinsoku/>
              <w:overflowPunct/>
              <w:autoSpaceDE/>
              <w:autoSpaceDN/>
              <w:bidi w:val="0"/>
              <w:spacing w:line="360" w:lineRule="auto"/>
              <w:ind w:firstLine="480" w:firstLineChars="200"/>
              <w:jc w:val="left"/>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评标委员会应当书面要求存在细微偏差的投标人在评标结束前予以补正，补正的程序和方法按照招标文件投标人须知第1</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条“投标文件的澄清”的规定执行；无法补正的，可在评审时对细微偏差作不利于该投标人的认定。</w:t>
            </w:r>
          </w:p>
          <w:p>
            <w:pPr>
              <w:keepNext w:val="0"/>
              <w:keepLines w:val="0"/>
              <w:pageBreakBefore w:val="0"/>
              <w:kinsoku/>
              <w:overflowPunct/>
              <w:autoSpaceDE/>
              <w:autoSpaceDN/>
              <w:bidi w:val="0"/>
              <w:spacing w:line="360" w:lineRule="auto"/>
              <w:jc w:val="left"/>
              <w:textAlignment w:val="auto"/>
              <w:outlineLvl w:val="9"/>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评委会判定重大偏差、细微偏差是依据投标文件，而不寻求其他的外部证据</w:t>
            </w:r>
            <w:r>
              <w:rPr>
                <w:rFonts w:hint="eastAsia" w:ascii="宋体" w:hAnsi="宋体" w:eastAsia="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w:t>
            </w:r>
          </w:p>
        </w:tc>
        <w:tc>
          <w:tcPr>
            <w:tcW w:w="8276" w:type="dxa"/>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实质性要求和条件：</w:t>
            </w:r>
          </w:p>
          <w:p>
            <w:pPr>
              <w:keepNext w:val="0"/>
              <w:keepLines w:val="0"/>
              <w:pageBreakBefore w:val="0"/>
              <w:kinsoku/>
              <w:wordWrap w:val="0"/>
              <w:overflowPunct/>
              <w:topLine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投标人须保障</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在使用该货物或其任何一部分时不受到第三方关于侵犯专利权、商标权或工业设计权等知识产权的指控。如果任何第三方提出侵权指控与</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无关，投标人须与第三方交涉并承担可能发生的责任与一切费用。如</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因此而遭致损失的，投标人应赔偿该损失。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12</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13.1</w:t>
            </w:r>
          </w:p>
        </w:tc>
        <w:tc>
          <w:tcPr>
            <w:tcW w:w="8276" w:type="dxa"/>
            <w:vAlign w:val="center"/>
          </w:tcPr>
          <w:p>
            <w:pPr>
              <w:keepNext w:val="0"/>
              <w:keepLines w:val="0"/>
              <w:pageBreakBefore w:val="0"/>
              <w:kinsoku/>
              <w:wordWrap w:val="0"/>
              <w:overflowPunct/>
              <w:topLine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投标文件须分为资格及资信证明部分、报价部分和技术商务部分，装订时要求资格及资信证明部分、报价部分和技术商务部分均须单独胶装装订并密封。投标文件正本壹份，副本</w:t>
            </w:r>
            <w:r>
              <w:rPr>
                <w:rFonts w:hint="eastAsia" w:ascii="宋体" w:hAnsi="宋体" w:cs="宋体"/>
                <w:color w:val="auto"/>
                <w:sz w:val="24"/>
                <w:highlight w:val="none"/>
                <w:lang w:eastAsia="zh-CN"/>
              </w:rPr>
              <w:t>柒</w:t>
            </w:r>
            <w:r>
              <w:rPr>
                <w:rFonts w:hint="eastAsia" w:ascii="宋体" w:hAnsi="宋体" w:eastAsia="宋体" w:cs="宋体"/>
                <w:color w:val="auto"/>
                <w:sz w:val="24"/>
                <w:highlight w:val="none"/>
              </w:rPr>
              <w:t>份，电子文件一份，必须用A4幅面纸张打印装订（含产品彩页），应编制封面、目录、页码，必须用胶装（为永久性、无破坏不可拆分）装订成册，须加盖骑缝章或逐页盖章，并在相应位置签名并加盖公章，并在封面标明“正本”字样；投标文件副本应与正本一致，可以用正本的完整复印件，并在封面标明“副本”字样。正本与副本内容如有不一致之处，则以正本为准。</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注：若未按要求装订</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或投标文件资格及资信证明部分</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技术商务部分出现投标报价</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，视为无效投标。</w:t>
            </w:r>
            <w:r>
              <w:rPr>
                <w:rFonts w:hint="eastAsia" w:ascii="宋体" w:hAnsi="宋体" w:eastAsia="宋体" w:cs="宋体"/>
                <w:color w:val="auto"/>
                <w:sz w:val="24"/>
                <w:highlight w:val="none"/>
                <w:lang w:val="en-US" w:eastAsia="zh-CN"/>
              </w:rPr>
              <w:t>]</w:t>
            </w:r>
          </w:p>
          <w:p>
            <w:pPr>
              <w:keepNext w:val="0"/>
              <w:keepLines w:val="0"/>
              <w:pageBreakBefore w:val="0"/>
              <w:kinsoku/>
              <w:wordWrap w:val="0"/>
              <w:overflowPunct/>
              <w:topLine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随投标文件一同提交的电子文件：含资格及资信证明部分、报价部分、技术商务部分的电子文件（用U盘或光盘，无病毒），其中所有文件不留密码，资质文件和证书等可用扫描以图片方式保存，此电子文件单独密封递交，外密封袋上须注明投标人名称并加盖公章。</w:t>
            </w:r>
          </w:p>
          <w:p>
            <w:pPr>
              <w:keepNext w:val="0"/>
              <w:keepLines w:val="0"/>
              <w:pageBreakBefore w:val="0"/>
              <w:kinsoku/>
              <w:wordWrap w:val="0"/>
              <w:overflowPunct/>
              <w:topLinePunct/>
              <w:autoSpaceDE/>
              <w:autoSpaceDN/>
              <w:bidi w:val="0"/>
              <w:spacing w:line="360" w:lineRule="auto"/>
              <w:ind w:firstLine="480" w:firstLineChars="200"/>
              <w:textAlignment w:val="auto"/>
              <w:outlineLvl w:val="9"/>
              <w:rPr>
                <w:rFonts w:hint="eastAsia" w:ascii="宋体" w:hAnsi="宋体" w:eastAsia="宋体" w:cs="宋体"/>
                <w:b/>
                <w:color w:val="auto"/>
                <w:szCs w:val="24"/>
                <w:highlight w:val="none"/>
                <w:lang w:eastAsia="zh-CN"/>
              </w:rPr>
            </w:pPr>
            <w:r>
              <w:rPr>
                <w:rFonts w:hint="eastAsia" w:ascii="宋体" w:hAnsi="宋体" w:eastAsia="宋体" w:cs="宋体"/>
                <w:color w:val="auto"/>
                <w:sz w:val="24"/>
                <w:highlight w:val="none"/>
                <w:lang w:eastAsia="zh-CN"/>
              </w:rPr>
              <w:t>注：</w:t>
            </w:r>
            <w:r>
              <w:rPr>
                <w:rFonts w:hint="eastAsia" w:ascii="宋体" w:hAnsi="宋体" w:eastAsia="宋体" w:cs="宋体"/>
                <w:color w:val="auto"/>
                <w:sz w:val="24"/>
                <w:highlight w:val="none"/>
              </w:rPr>
              <w:t>投标文件的正本和全部副本均应使用不能擦去的墨料或墨水打印、书写或复印，并由法定代表人或其授权的代表签署，盖投标人公章。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13</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14.1</w:t>
            </w:r>
          </w:p>
        </w:tc>
        <w:tc>
          <w:tcPr>
            <w:tcW w:w="8276" w:type="dxa"/>
            <w:vAlign w:val="center"/>
          </w:tcPr>
          <w:p>
            <w:pPr>
              <w:keepNext w:val="0"/>
              <w:keepLines w:val="0"/>
              <w:pageBreakBefore w:val="0"/>
              <w:kinsoku/>
              <w:wordWrap w:val="0"/>
              <w:overflowPunct/>
              <w:topLine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投标文件的密封、标记和递交</w:t>
            </w:r>
          </w:p>
          <w:p>
            <w:pPr>
              <w:keepNext w:val="0"/>
              <w:keepLines w:val="0"/>
              <w:pageBreakBefore w:val="0"/>
              <w:kinsoku/>
              <w:wordWrap w:val="0"/>
              <w:overflowPunct/>
              <w:topLine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投标人应将资格及资信证明部分正本、资格及资信证明部分副本、报价部分正本、报价部分副本、技术商务部分正本、技术商务部分副本（资格及资信证明部分</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技术商务部分中</w:t>
            </w:r>
            <w:r>
              <w:rPr>
                <w:rFonts w:hint="eastAsia" w:ascii="宋体" w:hAnsi="宋体" w:eastAsia="宋体" w:cs="宋体"/>
                <w:color w:val="auto"/>
                <w:sz w:val="24"/>
                <w:highlight w:val="none"/>
                <w:lang w:eastAsia="zh-CN"/>
              </w:rPr>
              <w:t>均</w:t>
            </w:r>
            <w:r>
              <w:rPr>
                <w:rFonts w:hint="eastAsia" w:ascii="宋体" w:hAnsi="宋体" w:eastAsia="宋体" w:cs="宋体"/>
                <w:color w:val="auto"/>
                <w:sz w:val="24"/>
                <w:highlight w:val="none"/>
              </w:rPr>
              <w:t>不得出现与报价有关的内容）、电子文件分开装袋密封，并标明招标编号、投标人名称、项目名称及“正本”或“副本”字样。投标文件未密封将导致投标被拒绝。</w:t>
            </w:r>
          </w:p>
          <w:p>
            <w:pPr>
              <w:keepNext w:val="0"/>
              <w:keepLines w:val="0"/>
              <w:pageBreakBefore w:val="0"/>
              <w:kinsoku/>
              <w:wordWrap w:val="0"/>
              <w:overflowPunct/>
              <w:topLine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每一信封密封处应注明“于</w:t>
            </w:r>
            <w:r>
              <w:rPr>
                <w:rFonts w:hint="eastAsia" w:ascii="宋体" w:hAnsi="宋体" w:eastAsia="宋体" w:cs="宋体"/>
                <w:color w:val="auto"/>
                <w:sz w:val="24"/>
                <w:highlight w:val="none"/>
                <w:u w:val="single"/>
              </w:rPr>
              <w:t xml:space="preserve"> </w:t>
            </w:r>
            <w:r>
              <w:rPr>
                <w:rFonts w:hint="eastAsia" w:ascii="宋体" w:hAnsi="宋体" w:cs="宋体"/>
                <w:color w:val="auto"/>
                <w:sz w:val="24"/>
                <w:highlight w:val="none"/>
                <w:u w:val="single"/>
                <w:lang w:val="en-US" w:eastAsia="zh-CN"/>
              </w:rPr>
              <w:t>2020年05月06日 15：00</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之前（指投标邀请中规定的开标日期及时间）不准启封”的字样，并加盖投标人公章。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4</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w:t>
            </w:r>
          </w:p>
        </w:tc>
        <w:tc>
          <w:tcPr>
            <w:tcW w:w="8276" w:type="dxa"/>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无效投标及废标条款：</w:t>
            </w:r>
          </w:p>
          <w:p>
            <w:pPr>
              <w:keepNext w:val="0"/>
              <w:keepLines w:val="0"/>
              <w:pageBreakBefore w:val="0"/>
              <w:kinsoku/>
              <w:overflowPunct/>
              <w:autoSpaceDE/>
              <w:autoSpaceDN/>
              <w:bidi w:val="0"/>
              <w:spacing w:line="360" w:lineRule="auto"/>
              <w:ind w:firstLine="48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以下为可能导致无效投标或废标的条款，具体内容详见招标文件各章节，请各投标人认真查看对照。</w:t>
            </w:r>
          </w:p>
          <w:p>
            <w:pPr>
              <w:keepNext w:val="0"/>
              <w:keepLines w:val="0"/>
              <w:pageBreakBefore w:val="0"/>
              <w:kinsoku/>
              <w:overflowPunct/>
              <w:autoSpaceDE/>
              <w:autoSpaceDN/>
              <w:bidi w:val="0"/>
              <w:spacing w:line="360" w:lineRule="auto"/>
              <w:ind w:firstLine="48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(1)不符合投标人须知前附表中第1</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13</w:t>
            </w:r>
            <w:r>
              <w:rPr>
                <w:rFonts w:hint="eastAsia" w:ascii="宋体" w:hAnsi="宋体" w:eastAsia="宋体" w:cs="宋体"/>
                <w:color w:val="auto"/>
                <w:sz w:val="24"/>
                <w:highlight w:val="none"/>
              </w:rPr>
              <w:t>项号中要求的。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(2)投标报价不符合投标人须知前附表中第</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项号规定的。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(3)出现“附件A”中无效投标</w:t>
            </w:r>
            <w:r>
              <w:rPr>
                <w:rFonts w:hint="eastAsia" w:ascii="宋体" w:hAnsi="宋体" w:eastAsia="宋体" w:cs="宋体"/>
                <w:color w:val="auto"/>
                <w:sz w:val="24"/>
                <w:highlight w:val="none"/>
                <w:lang w:eastAsia="zh-CN"/>
              </w:rPr>
              <w:t>及废标条款</w:t>
            </w:r>
            <w:r>
              <w:rPr>
                <w:rFonts w:hint="eastAsia" w:ascii="宋体" w:hAnsi="宋体" w:eastAsia="宋体" w:cs="宋体"/>
                <w:color w:val="auto"/>
                <w:sz w:val="24"/>
                <w:highlight w:val="none"/>
              </w:rPr>
              <w:t>规定的。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(4)出现投标人</w:t>
            </w:r>
            <w:r>
              <w:rPr>
                <w:rFonts w:hint="eastAsia" w:ascii="宋体" w:hAnsi="宋体" w:eastAsia="宋体" w:cs="宋体"/>
                <w:color w:val="auto"/>
                <w:sz w:val="24"/>
                <w:highlight w:val="none"/>
                <w:lang w:eastAsia="zh-CN"/>
              </w:rPr>
              <w:t>说明</w:t>
            </w:r>
            <w:r>
              <w:rPr>
                <w:rFonts w:hint="eastAsia" w:ascii="宋体" w:hAnsi="宋体" w:eastAsia="宋体" w:cs="宋体"/>
                <w:color w:val="auto"/>
                <w:sz w:val="24"/>
                <w:highlight w:val="none"/>
              </w:rPr>
              <w:t>第3</w:t>
            </w:r>
            <w:r>
              <w:rPr>
                <w:rFonts w:hint="eastAsia" w:ascii="宋体" w:hAnsi="宋体" w:eastAsia="宋体" w:cs="宋体"/>
                <w:color w:val="auto"/>
                <w:sz w:val="24"/>
                <w:highlight w:val="none"/>
                <w:lang w:eastAsia="zh-CN"/>
              </w:rPr>
              <w:t>条</w:t>
            </w:r>
            <w:r>
              <w:rPr>
                <w:rFonts w:hint="eastAsia" w:ascii="宋体" w:hAnsi="宋体" w:eastAsia="宋体" w:cs="宋体"/>
                <w:color w:val="auto"/>
                <w:sz w:val="24"/>
                <w:highlight w:val="none"/>
              </w:rPr>
              <w:t>要求任一情形的。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(5)出现投标人须知中第1</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.3、1</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要求中任一条款的。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(6)投标报价出现投标人须知中第</w:t>
            </w:r>
            <w:r>
              <w:rPr>
                <w:rFonts w:hint="eastAsia" w:ascii="宋体" w:hAnsi="宋体" w:eastAsia="宋体" w:cs="宋体"/>
                <w:color w:val="auto"/>
                <w:sz w:val="24"/>
                <w:highlight w:val="none"/>
                <w:lang w:val="en-US" w:eastAsia="zh-CN"/>
              </w:rPr>
              <w:t>20</w:t>
            </w:r>
            <w:r>
              <w:rPr>
                <w:rFonts w:hint="eastAsia" w:ascii="宋体" w:hAnsi="宋体" w:eastAsia="宋体" w:cs="宋体"/>
                <w:color w:val="auto"/>
                <w:sz w:val="24"/>
                <w:highlight w:val="none"/>
              </w:rPr>
              <w:t>.3条款规定的。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)出现第二章投标人须知无效投标规定的。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)出现第三章招标内容及要求无效投标规定的。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15</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w:t>
            </w:r>
          </w:p>
        </w:tc>
        <w:tc>
          <w:tcPr>
            <w:tcW w:w="8276" w:type="dxa"/>
            <w:vAlign w:val="center"/>
          </w:tcPr>
          <w:p>
            <w:pPr>
              <w:keepNext w:val="0"/>
              <w:keepLines w:val="0"/>
              <w:pageBreakBefore w:val="0"/>
              <w:kinsoku/>
              <w:overflowPunct/>
              <w:autoSpaceDE/>
              <w:autoSpaceDN/>
              <w:bidi w:val="0"/>
              <w:spacing w:line="360" w:lineRule="auto"/>
              <w:ind w:firstLine="480" w:firstLineChars="200"/>
              <w:textAlignment w:val="auto"/>
              <w:outlineLvl w:val="9"/>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根据《福建省财政厅关于落实疫情防控采购便利化有关政策的通知》的规定，本项目以满足疫情防控工作需要为首要目标，不执行政府采购法规定的方式和程序。</w:t>
            </w:r>
            <w:r>
              <w:rPr>
                <w:rFonts w:hint="eastAsia" w:ascii="宋体" w:hAnsi="宋体" w:cs="宋体"/>
                <w:color w:val="auto"/>
                <w:sz w:val="24"/>
                <w:highlight w:val="none"/>
                <w:lang w:eastAsia="zh-CN"/>
              </w:rPr>
              <w:t>故若合格投标人不足三家，则该项目继续进行评标；若合格投标人只有一家，则由评标委员会直接进行谈判确认该合格投标人为最终中标供应商。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644"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16</w:t>
            </w:r>
          </w:p>
        </w:tc>
        <w:tc>
          <w:tcPr>
            <w:tcW w:w="980" w:type="dxa"/>
            <w:vAlign w:val="center"/>
          </w:tcPr>
          <w:p>
            <w:pPr>
              <w:keepNext w:val="0"/>
              <w:keepLines w:val="0"/>
              <w:pageBreakBefore w:val="0"/>
              <w:kinsoku/>
              <w:overflowPunct/>
              <w:autoSpaceDE/>
              <w:autoSpaceDN/>
              <w:bidi w:val="0"/>
              <w:spacing w:line="360" w:lineRule="auto"/>
              <w:jc w:val="center"/>
              <w:textAlignment w:val="auto"/>
              <w:outlineLvl w:val="9"/>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w:t>
            </w:r>
          </w:p>
        </w:tc>
        <w:tc>
          <w:tcPr>
            <w:tcW w:w="8276" w:type="dxa"/>
            <w:vAlign w:val="center"/>
          </w:tcPr>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 评标过程中无论是否有对原件进行核查，投标人都必须对其投标文件中提供各种资料、说明、声明、承诺的真实、准确、完整及合法有效负责。在评标过程中，如有发现投标人有为谋取中标而提供虚假资料或承诺欺骗采购人和评委的行为，将取消其中标资格，其投标保证金将不予退还。</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 定标后，采购人有可能对中标人投标文件中的承诺内容、资料和说明进行实地核查，中标人应无条件配合采购人的核查工作，不得拒绝核查或隐瞒真实情况。若在中标后或签约时或履行合同过程中发现中标人是提供虚假材料或承诺谋取中标的，采购人将取消其中标人资格，其投标保证金、履约保证金（如果已签订合同）将不予退还，给采购人造成损失（损失包括直接损失和间接损失及因追索该损失而产生的诉讼费、律师费等）的，还必须进行赔偿并负相关责任。采购人有权按照中标候选人排序依法递补中标人并按相同标准和要求签订合同，以此类推。</w:t>
            </w:r>
          </w:p>
        </w:tc>
      </w:tr>
    </w:tbl>
    <w:p>
      <w:pPr>
        <w:pageBreakBefore w:val="0"/>
        <w:kinsoku/>
        <w:overflowPunct/>
        <w:bidi w:val="0"/>
        <w:spacing w:line="360" w:lineRule="auto"/>
        <w:jc w:val="center"/>
        <w:rPr>
          <w:rFonts w:ascii="宋体" w:hAnsi="宋体" w:cs="宋体"/>
          <w:b/>
          <w:sz w:val="36"/>
          <w:szCs w:val="36"/>
          <w:highlight w:val="none"/>
        </w:rPr>
      </w:pPr>
      <w:r>
        <w:rPr>
          <w:rFonts w:hint="eastAsia" w:ascii="宋体" w:hAnsi="宋体" w:eastAsia="宋体" w:cs="宋体"/>
          <w:b/>
          <w:color w:val="auto"/>
          <w:sz w:val="24"/>
          <w:highlight w:val="none"/>
        </w:rPr>
        <w:br w:type="page"/>
      </w:r>
      <w:bookmarkStart w:id="38" w:name="_Toc492718039"/>
      <w:r>
        <w:rPr>
          <w:rFonts w:hint="eastAsia" w:ascii="宋体" w:hAnsi="宋体" w:cs="宋体"/>
          <w:b/>
          <w:sz w:val="36"/>
          <w:szCs w:val="36"/>
          <w:highlight w:val="none"/>
        </w:rPr>
        <w:t>附件A：评标方法、评标标准和废标条款</w:t>
      </w:r>
      <w:bookmarkEnd w:id="38"/>
    </w:p>
    <w:p>
      <w:pPr>
        <w:pageBreakBefore w:val="0"/>
        <w:kinsoku/>
        <w:overflowPunct/>
        <w:bidi w:val="0"/>
        <w:snapToGrid w:val="0"/>
        <w:spacing w:line="360" w:lineRule="auto"/>
        <w:rPr>
          <w:rFonts w:ascii="宋体" w:hAnsi="宋体" w:cs="宋体"/>
          <w:b/>
          <w:sz w:val="24"/>
          <w:highlight w:val="none"/>
        </w:rPr>
      </w:pPr>
      <w:bookmarkStart w:id="39" w:name="_Toc420412511"/>
      <w:r>
        <w:rPr>
          <w:rFonts w:hint="eastAsia" w:ascii="宋体" w:hAnsi="宋体" w:cs="宋体"/>
          <w:b/>
          <w:sz w:val="24"/>
          <w:highlight w:val="none"/>
        </w:rPr>
        <w:t>一、评标方法：</w:t>
      </w:r>
      <w:r>
        <w:rPr>
          <w:rFonts w:hint="eastAsia" w:ascii="宋体" w:hAnsi="宋体" w:cs="宋体"/>
          <w:b/>
          <w:sz w:val="24"/>
          <w:highlight w:val="none"/>
          <w:lang w:eastAsia="zh-CN"/>
        </w:rPr>
        <w:t>在满足招标要求的前提下，</w:t>
      </w:r>
      <w:r>
        <w:rPr>
          <w:rFonts w:hint="eastAsia" w:ascii="宋体" w:hAnsi="宋体" w:cs="宋体"/>
          <w:sz w:val="24"/>
          <w:highlight w:val="none"/>
        </w:rPr>
        <w:t>本项目采用</w:t>
      </w:r>
      <w:bookmarkEnd w:id="39"/>
      <w:r>
        <w:rPr>
          <w:rFonts w:hint="eastAsia" w:ascii="宋体" w:hAnsi="宋体" w:cs="宋体"/>
          <w:sz w:val="24"/>
          <w:highlight w:val="none"/>
          <w:lang w:eastAsia="zh-CN"/>
        </w:rPr>
        <w:t>最低评标价法</w:t>
      </w:r>
    </w:p>
    <w:p>
      <w:pPr>
        <w:pageBreakBefore w:val="0"/>
        <w:kinsoku/>
        <w:overflowPunct/>
        <w:bidi w:val="0"/>
        <w:snapToGrid w:val="0"/>
        <w:spacing w:line="360" w:lineRule="auto"/>
        <w:rPr>
          <w:rFonts w:ascii="宋体" w:hAnsi="宋体" w:cs="宋体"/>
          <w:sz w:val="24"/>
          <w:highlight w:val="none"/>
        </w:rPr>
      </w:pPr>
      <w:r>
        <w:rPr>
          <w:rFonts w:hint="eastAsia" w:ascii="宋体" w:hAnsi="宋体" w:cs="宋体"/>
          <w:b/>
          <w:bCs/>
          <w:sz w:val="24"/>
          <w:highlight w:val="none"/>
        </w:rPr>
        <w:t>二、资格审查</w:t>
      </w:r>
    </w:p>
    <w:p>
      <w:pPr>
        <w:pageBreakBefore w:val="0"/>
        <w:kinsoku/>
        <w:overflowPunct/>
        <w:bidi w:val="0"/>
        <w:snapToGrid w:val="0"/>
        <w:spacing w:line="360" w:lineRule="auto"/>
        <w:ind w:firstLine="240" w:firstLineChars="100"/>
        <w:rPr>
          <w:rFonts w:ascii="宋体" w:hAnsi="宋体" w:cs="宋体"/>
          <w:sz w:val="24"/>
          <w:highlight w:val="none"/>
        </w:rPr>
      </w:pPr>
      <w:r>
        <w:rPr>
          <w:rFonts w:hint="eastAsia" w:ascii="宋体" w:hAnsi="宋体" w:cs="宋体"/>
          <w:sz w:val="24"/>
          <w:highlight w:val="none"/>
        </w:rPr>
        <w:t>1、有下列情形之一的，资格审查不合格：</w:t>
      </w:r>
    </w:p>
    <w:tbl>
      <w:tblPr>
        <w:tblStyle w:val="40"/>
        <w:tblW w:w="9681"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339"/>
        <w:gridCol w:w="8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94" w:type="dxa"/>
            <w:tcMar>
              <w:top w:w="0" w:type="dxa"/>
              <w:left w:w="95" w:type="dxa"/>
              <w:bottom w:w="0" w:type="dxa"/>
              <w:right w:w="95" w:type="dxa"/>
            </w:tcMar>
            <w:vAlign w:val="center"/>
          </w:tcPr>
          <w:p>
            <w:pPr>
              <w:pageBreakBefore w:val="0"/>
              <w:kinsoku/>
              <w:overflowPunct/>
              <w:bidi w:val="0"/>
              <w:snapToGrid w:val="0"/>
              <w:spacing w:line="360" w:lineRule="auto"/>
              <w:jc w:val="center"/>
              <w:rPr>
                <w:rFonts w:ascii="宋体" w:hAnsi="宋体" w:cs="宋体"/>
                <w:sz w:val="24"/>
                <w:highlight w:val="none"/>
              </w:rPr>
            </w:pPr>
            <w:r>
              <w:rPr>
                <w:rFonts w:hint="eastAsia" w:ascii="宋体" w:hAnsi="宋体" w:cs="宋体"/>
                <w:sz w:val="24"/>
                <w:highlight w:val="none"/>
              </w:rPr>
              <w:t>序号</w:t>
            </w:r>
          </w:p>
        </w:tc>
        <w:tc>
          <w:tcPr>
            <w:tcW w:w="8297" w:type="dxa"/>
            <w:tcMar>
              <w:top w:w="0" w:type="dxa"/>
              <w:left w:w="95" w:type="dxa"/>
              <w:bottom w:w="0" w:type="dxa"/>
              <w:right w:w="95" w:type="dxa"/>
            </w:tcMar>
            <w:vAlign w:val="center"/>
          </w:tcPr>
          <w:p>
            <w:pPr>
              <w:pageBreakBefore w:val="0"/>
              <w:kinsoku/>
              <w:overflowPunct/>
              <w:bidi w:val="0"/>
              <w:snapToGrid w:val="0"/>
              <w:spacing w:line="360" w:lineRule="auto"/>
              <w:jc w:val="center"/>
              <w:rPr>
                <w:rFonts w:ascii="宋体" w:hAnsi="宋体" w:cs="宋体"/>
                <w:sz w:val="24"/>
                <w:highlight w:val="none"/>
              </w:rPr>
            </w:pPr>
            <w:r>
              <w:rPr>
                <w:rFonts w:hint="eastAsia" w:ascii="宋体" w:hAnsi="宋体" w:cs="宋体"/>
                <w:sz w:val="24"/>
                <w:highlight w:val="none"/>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94" w:type="dxa"/>
            <w:tcMar>
              <w:top w:w="0" w:type="dxa"/>
              <w:left w:w="95" w:type="dxa"/>
              <w:bottom w:w="0" w:type="dxa"/>
              <w:right w:w="95" w:type="dxa"/>
            </w:tcMar>
            <w:vAlign w:val="center"/>
          </w:tcPr>
          <w:p>
            <w:pPr>
              <w:pageBreakBefore w:val="0"/>
              <w:kinsoku/>
              <w:overflowPunct/>
              <w:bidi w:val="0"/>
              <w:snapToGrid w:val="0"/>
              <w:spacing w:line="360" w:lineRule="auto"/>
              <w:jc w:val="center"/>
              <w:rPr>
                <w:rFonts w:ascii="宋体" w:hAnsi="宋体" w:cs="宋体"/>
                <w:sz w:val="24"/>
                <w:highlight w:val="none"/>
              </w:rPr>
            </w:pPr>
            <w:r>
              <w:rPr>
                <w:rFonts w:hint="eastAsia" w:ascii="宋体" w:hAnsi="宋体" w:cs="宋体"/>
                <w:sz w:val="24"/>
                <w:highlight w:val="none"/>
              </w:rPr>
              <w:t>a1</w:t>
            </w:r>
          </w:p>
        </w:tc>
        <w:tc>
          <w:tcPr>
            <w:tcW w:w="8297" w:type="dxa"/>
            <w:tcMar>
              <w:top w:w="0" w:type="dxa"/>
              <w:left w:w="95" w:type="dxa"/>
              <w:bottom w:w="0" w:type="dxa"/>
              <w:right w:w="95" w:type="dxa"/>
            </w:tcMar>
            <w:vAlign w:val="center"/>
          </w:tcPr>
          <w:p>
            <w:pPr>
              <w:pageBreakBefore w:val="0"/>
              <w:kinsoku/>
              <w:overflowPunct/>
              <w:bidi w:val="0"/>
              <w:snapToGrid w:val="0"/>
              <w:spacing w:line="360" w:lineRule="auto"/>
              <w:rPr>
                <w:rFonts w:ascii="宋体" w:hAnsi="宋体" w:cs="宋体"/>
                <w:sz w:val="24"/>
                <w:highlight w:val="none"/>
              </w:rPr>
            </w:pPr>
            <w:r>
              <w:rPr>
                <w:rFonts w:hint="eastAsia" w:ascii="宋体" w:hAnsi="宋体" w:cs="宋体"/>
                <w:sz w:val="24"/>
                <w:highlight w:val="none"/>
              </w:rPr>
              <w:t>未按照招标文件规定提交投标人的资格及资信文件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94" w:type="dxa"/>
            <w:tcMar>
              <w:top w:w="0" w:type="dxa"/>
              <w:left w:w="95" w:type="dxa"/>
              <w:bottom w:w="0" w:type="dxa"/>
              <w:right w:w="95" w:type="dxa"/>
            </w:tcMar>
            <w:vAlign w:val="center"/>
          </w:tcPr>
          <w:p>
            <w:pPr>
              <w:pageBreakBefore w:val="0"/>
              <w:kinsoku/>
              <w:overflowPunct/>
              <w:bidi w:val="0"/>
              <w:snapToGrid w:val="0"/>
              <w:spacing w:line="360" w:lineRule="auto"/>
              <w:jc w:val="center"/>
              <w:rPr>
                <w:rFonts w:ascii="宋体" w:hAnsi="宋体" w:cs="宋体"/>
                <w:sz w:val="24"/>
                <w:highlight w:val="none"/>
              </w:rPr>
            </w:pPr>
            <w:r>
              <w:rPr>
                <w:rFonts w:hint="eastAsia" w:ascii="宋体" w:hAnsi="宋体" w:cs="宋体"/>
                <w:sz w:val="24"/>
                <w:highlight w:val="none"/>
              </w:rPr>
              <w:t>a2</w:t>
            </w:r>
          </w:p>
        </w:tc>
        <w:tc>
          <w:tcPr>
            <w:tcW w:w="8297" w:type="dxa"/>
            <w:tcMar>
              <w:top w:w="0" w:type="dxa"/>
              <w:left w:w="95" w:type="dxa"/>
              <w:bottom w:w="0" w:type="dxa"/>
              <w:right w:w="95" w:type="dxa"/>
            </w:tcMar>
            <w:vAlign w:val="center"/>
          </w:tcPr>
          <w:p>
            <w:pPr>
              <w:pageBreakBefore w:val="0"/>
              <w:kinsoku/>
              <w:overflowPunct/>
              <w:bidi w:val="0"/>
              <w:snapToGrid w:val="0"/>
              <w:spacing w:line="360" w:lineRule="auto"/>
              <w:rPr>
                <w:rFonts w:ascii="宋体" w:hAnsi="宋体" w:cs="宋体"/>
                <w:sz w:val="24"/>
                <w:highlight w:val="none"/>
              </w:rPr>
            </w:pPr>
            <w:r>
              <w:rPr>
                <w:rFonts w:hint="eastAsia" w:ascii="宋体" w:hAnsi="宋体" w:cs="宋体"/>
                <w:sz w:val="24"/>
                <w:highlight w:val="none"/>
              </w:rPr>
              <w:t>未按照招标文件规定提交投标保证金</w:t>
            </w:r>
          </w:p>
        </w:tc>
      </w:tr>
    </w:tbl>
    <w:p>
      <w:pPr>
        <w:pageBreakBefore w:val="0"/>
        <w:kinsoku/>
        <w:overflowPunct/>
        <w:bidi w:val="0"/>
        <w:snapToGrid w:val="0"/>
        <w:spacing w:line="360" w:lineRule="auto"/>
        <w:ind w:firstLine="240" w:firstLineChars="100"/>
        <w:rPr>
          <w:rFonts w:ascii="宋体" w:hAnsi="宋体" w:cs="宋体"/>
          <w:sz w:val="24"/>
          <w:highlight w:val="none"/>
        </w:rPr>
      </w:pPr>
      <w:r>
        <w:rPr>
          <w:rFonts w:hint="eastAsia" w:ascii="宋体" w:hAnsi="宋体" w:cs="宋体"/>
          <w:sz w:val="24"/>
          <w:highlight w:val="none"/>
        </w:rPr>
        <w:t>2、资格审查情况不得私自外泄，有关信息由福建省天海招标有限公司统一对外发布。</w:t>
      </w:r>
    </w:p>
    <w:p>
      <w:pPr>
        <w:pageBreakBefore w:val="0"/>
        <w:kinsoku/>
        <w:overflowPunct/>
        <w:bidi w:val="0"/>
        <w:snapToGrid w:val="0"/>
        <w:spacing w:line="360" w:lineRule="auto"/>
        <w:rPr>
          <w:rFonts w:ascii="宋体" w:hAnsi="宋体" w:cs="宋体"/>
          <w:b/>
          <w:bCs/>
          <w:sz w:val="24"/>
          <w:highlight w:val="none"/>
        </w:rPr>
      </w:pPr>
      <w:r>
        <w:rPr>
          <w:rFonts w:hint="eastAsia" w:ascii="宋体" w:hAnsi="宋体" w:cs="宋体"/>
          <w:b/>
          <w:bCs/>
          <w:sz w:val="24"/>
          <w:highlight w:val="none"/>
        </w:rPr>
        <w:t>三、评标</w:t>
      </w:r>
    </w:p>
    <w:p>
      <w:pPr>
        <w:pageBreakBefore w:val="0"/>
        <w:kinsoku/>
        <w:overflowPunct/>
        <w:bidi w:val="0"/>
        <w:snapToGrid w:val="0"/>
        <w:spacing w:line="360" w:lineRule="auto"/>
        <w:rPr>
          <w:rFonts w:ascii="宋体" w:hAnsi="宋体" w:cs="宋体"/>
          <w:b/>
          <w:bCs/>
          <w:sz w:val="24"/>
          <w:highlight w:val="none"/>
        </w:rPr>
      </w:pPr>
      <w:r>
        <w:rPr>
          <w:rFonts w:hint="eastAsia" w:ascii="宋体" w:hAnsi="宋体" w:cs="宋体"/>
          <w:b/>
          <w:bCs/>
          <w:sz w:val="24"/>
          <w:highlight w:val="none"/>
        </w:rPr>
        <w:t>1．评标前的准备工作</w:t>
      </w:r>
    </w:p>
    <w:p>
      <w:pPr>
        <w:pageBreakBefore w:val="0"/>
        <w:kinsoku/>
        <w:overflowPunct/>
        <w:bidi w:val="0"/>
        <w:snapToGrid w:val="0"/>
        <w:spacing w:line="360" w:lineRule="auto"/>
        <w:ind w:firstLine="240" w:firstLineChars="100"/>
        <w:rPr>
          <w:rFonts w:ascii="宋体" w:hAnsi="宋体" w:cs="宋体"/>
          <w:sz w:val="24"/>
          <w:highlight w:val="none"/>
        </w:rPr>
      </w:pPr>
      <w:r>
        <w:rPr>
          <w:rFonts w:hint="eastAsia" w:ascii="宋体" w:hAnsi="宋体" w:cs="宋体"/>
          <w:sz w:val="24"/>
          <w:highlight w:val="none"/>
        </w:rPr>
        <w:t>（1）全体评委应认真审阅招标文件，了解评委应履行或遵守的职责、义务和评标纪律。</w:t>
      </w:r>
    </w:p>
    <w:p>
      <w:pPr>
        <w:pageBreakBefore w:val="0"/>
        <w:kinsoku/>
        <w:overflowPunct/>
        <w:bidi w:val="0"/>
        <w:snapToGrid w:val="0"/>
        <w:spacing w:line="360" w:lineRule="auto"/>
        <w:ind w:firstLine="240" w:firstLineChars="100"/>
        <w:rPr>
          <w:rFonts w:ascii="宋体" w:hAnsi="宋体" w:cs="宋体"/>
          <w:sz w:val="24"/>
          <w:highlight w:val="none"/>
        </w:rPr>
      </w:pPr>
      <w:r>
        <w:rPr>
          <w:rFonts w:hint="eastAsia" w:ascii="宋体" w:hAnsi="宋体" w:cs="宋体"/>
          <w:sz w:val="24"/>
          <w:highlight w:val="none"/>
        </w:rPr>
        <w:t>（2）采购人代表可对本项目的背景和采购需求进行介绍，介绍内容不得含有歧视性、倾向性意见，不得超出招标文件所述范围。</w:t>
      </w:r>
    </w:p>
    <w:p>
      <w:pPr>
        <w:pageBreakBefore w:val="0"/>
        <w:kinsoku/>
        <w:overflowPunct/>
        <w:bidi w:val="0"/>
        <w:snapToGrid w:val="0"/>
        <w:spacing w:line="360" w:lineRule="auto"/>
        <w:rPr>
          <w:rFonts w:ascii="宋体" w:hAnsi="宋体" w:cs="宋体"/>
          <w:b/>
          <w:bCs/>
          <w:sz w:val="24"/>
          <w:highlight w:val="none"/>
        </w:rPr>
      </w:pPr>
      <w:r>
        <w:rPr>
          <w:rFonts w:hint="eastAsia" w:ascii="宋体" w:hAnsi="宋体" w:cs="宋体"/>
          <w:b/>
          <w:bCs/>
          <w:sz w:val="24"/>
          <w:highlight w:val="none"/>
        </w:rPr>
        <w:t>2．符合性审查</w:t>
      </w:r>
    </w:p>
    <w:p>
      <w:pPr>
        <w:pageBreakBefore w:val="0"/>
        <w:kinsoku/>
        <w:overflowPunct/>
        <w:bidi w:val="0"/>
        <w:snapToGrid w:val="0"/>
        <w:spacing w:line="360" w:lineRule="auto"/>
        <w:ind w:firstLine="240" w:firstLineChars="100"/>
        <w:rPr>
          <w:rFonts w:ascii="宋体" w:hAnsi="宋体" w:cs="宋体"/>
          <w:sz w:val="24"/>
          <w:highlight w:val="none"/>
        </w:rPr>
      </w:pPr>
      <w:r>
        <w:rPr>
          <w:rFonts w:hint="eastAsia" w:ascii="宋体" w:hAnsi="宋体" w:cs="宋体"/>
          <w:sz w:val="24"/>
          <w:highlight w:val="none"/>
        </w:rPr>
        <w:t>（1）评标委员会依据招标文件的实质性要求，对通过资格审查的投标文件进行符合性审查，以确定其是否满足招标文件的实质性要求。</w:t>
      </w:r>
    </w:p>
    <w:p>
      <w:pPr>
        <w:pageBreakBefore w:val="0"/>
        <w:kinsoku/>
        <w:overflowPunct/>
        <w:bidi w:val="0"/>
        <w:snapToGrid w:val="0"/>
        <w:spacing w:line="360" w:lineRule="auto"/>
        <w:ind w:firstLine="240" w:firstLineChars="100"/>
        <w:rPr>
          <w:rFonts w:ascii="宋体" w:hAnsi="宋体" w:cs="宋体"/>
          <w:sz w:val="24"/>
          <w:highlight w:val="none"/>
        </w:rPr>
      </w:pPr>
      <w:r>
        <w:rPr>
          <w:rFonts w:hint="eastAsia" w:ascii="宋体" w:hAnsi="宋体" w:cs="宋体"/>
          <w:sz w:val="24"/>
          <w:highlight w:val="none"/>
        </w:rPr>
        <w:t>（2）满足招标文件的实质性要求指投标文件对招标文件实质性要求的响应不存在重大偏差或保留。</w:t>
      </w:r>
    </w:p>
    <w:p>
      <w:pPr>
        <w:pageBreakBefore w:val="0"/>
        <w:kinsoku/>
        <w:overflowPunct/>
        <w:bidi w:val="0"/>
        <w:snapToGrid w:val="0"/>
        <w:spacing w:line="360" w:lineRule="auto"/>
        <w:ind w:firstLine="240" w:firstLineChars="100"/>
        <w:rPr>
          <w:rFonts w:ascii="宋体" w:hAnsi="宋体" w:cs="宋体"/>
          <w:sz w:val="24"/>
          <w:highlight w:val="none"/>
        </w:rPr>
      </w:pPr>
      <w:r>
        <w:rPr>
          <w:rFonts w:hint="eastAsia" w:ascii="宋体" w:hAnsi="宋体" w:cs="宋体"/>
          <w:sz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ageBreakBefore w:val="0"/>
        <w:kinsoku/>
        <w:overflowPunct/>
        <w:bidi w:val="0"/>
        <w:snapToGrid w:val="0"/>
        <w:spacing w:line="360" w:lineRule="auto"/>
        <w:ind w:firstLine="240" w:firstLineChars="100"/>
        <w:rPr>
          <w:rFonts w:ascii="宋体" w:hAnsi="宋体" w:cs="宋体"/>
          <w:sz w:val="24"/>
          <w:highlight w:val="none"/>
        </w:rPr>
      </w:pPr>
      <w:r>
        <w:rPr>
          <w:rFonts w:hint="eastAsia" w:ascii="宋体" w:hAnsi="宋体" w:cs="宋体"/>
          <w:sz w:val="24"/>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ageBreakBefore w:val="0"/>
        <w:kinsoku/>
        <w:overflowPunct/>
        <w:bidi w:val="0"/>
        <w:snapToGrid w:val="0"/>
        <w:spacing w:line="360" w:lineRule="auto"/>
        <w:ind w:firstLine="240" w:firstLineChars="100"/>
        <w:rPr>
          <w:rFonts w:ascii="宋体" w:hAnsi="宋体" w:cs="宋体"/>
          <w:sz w:val="24"/>
          <w:highlight w:val="none"/>
        </w:rPr>
      </w:pPr>
      <w:r>
        <w:rPr>
          <w:rFonts w:hint="eastAsia" w:ascii="宋体" w:hAnsi="宋体" w:cs="宋体"/>
          <w:sz w:val="24"/>
          <w:highlight w:val="none"/>
        </w:rPr>
        <w:t>（5）评标委员会对所有投标人都执行相同的程序和标准。</w:t>
      </w:r>
    </w:p>
    <w:p>
      <w:pPr>
        <w:pageBreakBefore w:val="0"/>
        <w:kinsoku/>
        <w:overflowPunct/>
        <w:bidi w:val="0"/>
        <w:snapToGrid w:val="0"/>
        <w:spacing w:line="360" w:lineRule="auto"/>
        <w:ind w:firstLine="240" w:firstLineChars="100"/>
        <w:rPr>
          <w:rFonts w:ascii="宋体" w:hAnsi="宋体" w:cs="宋体"/>
          <w:sz w:val="24"/>
          <w:highlight w:val="none"/>
        </w:rPr>
      </w:pPr>
      <w:r>
        <w:rPr>
          <w:rFonts w:hint="eastAsia" w:ascii="宋体" w:hAnsi="宋体" w:cs="宋体"/>
          <w:sz w:val="24"/>
          <w:highlight w:val="none"/>
        </w:rPr>
        <w:t>（6）有下列情形之一的，</w:t>
      </w:r>
      <w:r>
        <w:rPr>
          <w:rFonts w:hint="eastAsia" w:ascii="宋体" w:hAnsi="宋体" w:cs="宋体"/>
          <w:b/>
          <w:bCs/>
          <w:sz w:val="24"/>
          <w:highlight w:val="none"/>
        </w:rPr>
        <w:t>符合性审查不合格：</w:t>
      </w:r>
    </w:p>
    <w:p>
      <w:pPr>
        <w:pageBreakBefore w:val="0"/>
        <w:kinsoku/>
        <w:overflowPunct/>
        <w:bidi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①一般情形：</w:t>
      </w:r>
    </w:p>
    <w:tbl>
      <w:tblPr>
        <w:tblStyle w:val="40"/>
        <w:tblW w:w="9643"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366"/>
        <w:gridCol w:w="8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321" w:type="dxa"/>
            <w:tcMar>
              <w:top w:w="0" w:type="dxa"/>
              <w:left w:w="95" w:type="dxa"/>
              <w:bottom w:w="0" w:type="dxa"/>
              <w:right w:w="95" w:type="dxa"/>
            </w:tcMar>
            <w:vAlign w:val="center"/>
          </w:tcPr>
          <w:p>
            <w:pPr>
              <w:pageBreakBefore w:val="0"/>
              <w:kinsoku/>
              <w:overflowPunct/>
              <w:bidi w:val="0"/>
              <w:snapToGrid w:val="0"/>
              <w:spacing w:line="360" w:lineRule="auto"/>
              <w:rPr>
                <w:rFonts w:ascii="宋体" w:hAnsi="宋体" w:cs="宋体"/>
                <w:sz w:val="24"/>
                <w:highlight w:val="none"/>
              </w:rPr>
            </w:pPr>
            <w:r>
              <w:rPr>
                <w:rFonts w:hint="eastAsia" w:ascii="宋体" w:hAnsi="宋体" w:cs="宋体"/>
                <w:sz w:val="24"/>
                <w:highlight w:val="none"/>
              </w:rPr>
              <w:t>序号</w:t>
            </w:r>
          </w:p>
        </w:tc>
        <w:tc>
          <w:tcPr>
            <w:tcW w:w="8232" w:type="dxa"/>
            <w:tcMar>
              <w:top w:w="0" w:type="dxa"/>
              <w:left w:w="95" w:type="dxa"/>
              <w:bottom w:w="0" w:type="dxa"/>
              <w:right w:w="95" w:type="dxa"/>
            </w:tcMar>
            <w:vAlign w:val="center"/>
          </w:tcPr>
          <w:p>
            <w:pPr>
              <w:pageBreakBefore w:val="0"/>
              <w:kinsoku/>
              <w:overflowPunct/>
              <w:bidi w:val="0"/>
              <w:snapToGrid w:val="0"/>
              <w:spacing w:line="360" w:lineRule="auto"/>
              <w:rPr>
                <w:rFonts w:ascii="宋体" w:hAnsi="宋体" w:cs="宋体"/>
                <w:sz w:val="24"/>
                <w:highlight w:val="none"/>
              </w:rPr>
            </w:pPr>
            <w:r>
              <w:rPr>
                <w:rFonts w:hint="eastAsia" w:ascii="宋体" w:hAnsi="宋体" w:cs="宋体"/>
                <w:sz w:val="24"/>
                <w:highlight w:val="none"/>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321" w:type="dxa"/>
            <w:tcMar>
              <w:top w:w="0" w:type="dxa"/>
              <w:left w:w="95" w:type="dxa"/>
              <w:bottom w:w="0" w:type="dxa"/>
              <w:right w:w="95" w:type="dxa"/>
            </w:tcMar>
            <w:vAlign w:val="center"/>
          </w:tcPr>
          <w:p>
            <w:pPr>
              <w:pageBreakBefore w:val="0"/>
              <w:kinsoku/>
              <w:overflowPunct/>
              <w:bidi w:val="0"/>
              <w:snapToGrid w:val="0"/>
              <w:spacing w:line="360" w:lineRule="auto"/>
              <w:rPr>
                <w:rFonts w:ascii="宋体" w:hAnsi="宋体" w:cs="宋体"/>
                <w:sz w:val="24"/>
                <w:highlight w:val="none"/>
              </w:rPr>
            </w:pPr>
            <w:r>
              <w:rPr>
                <w:rFonts w:hint="eastAsia" w:ascii="宋体" w:hAnsi="宋体" w:cs="宋体"/>
                <w:sz w:val="24"/>
                <w:highlight w:val="none"/>
              </w:rPr>
              <w:t>a1</w:t>
            </w:r>
          </w:p>
        </w:tc>
        <w:tc>
          <w:tcPr>
            <w:tcW w:w="8232" w:type="dxa"/>
            <w:tcMar>
              <w:top w:w="0" w:type="dxa"/>
              <w:left w:w="95" w:type="dxa"/>
              <w:bottom w:w="0" w:type="dxa"/>
              <w:right w:w="95" w:type="dxa"/>
            </w:tcMar>
            <w:vAlign w:val="center"/>
          </w:tcPr>
          <w:p>
            <w:pPr>
              <w:pageBreakBefore w:val="0"/>
              <w:kinsoku/>
              <w:overflowPunct/>
              <w:bidi w:val="0"/>
              <w:snapToGrid w:val="0"/>
              <w:spacing w:line="360" w:lineRule="auto"/>
              <w:rPr>
                <w:rFonts w:ascii="宋体" w:hAnsi="宋体" w:cs="宋体"/>
                <w:sz w:val="24"/>
                <w:highlight w:val="none"/>
              </w:rPr>
            </w:pPr>
            <w:r>
              <w:rPr>
                <w:rFonts w:hint="eastAsia" w:ascii="宋体" w:hAnsi="宋体" w:cs="宋体"/>
                <w:sz w:val="24"/>
                <w:highlight w:val="none"/>
              </w:rPr>
              <w:t>违反招标文件中载明“投标无效”条款的规定；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321" w:type="dxa"/>
            <w:tcMar>
              <w:top w:w="0" w:type="dxa"/>
              <w:left w:w="95" w:type="dxa"/>
              <w:bottom w:w="0" w:type="dxa"/>
              <w:right w:w="95" w:type="dxa"/>
            </w:tcMar>
            <w:vAlign w:val="center"/>
          </w:tcPr>
          <w:p>
            <w:pPr>
              <w:pageBreakBefore w:val="0"/>
              <w:kinsoku/>
              <w:overflowPunct/>
              <w:bidi w:val="0"/>
              <w:snapToGrid w:val="0"/>
              <w:spacing w:line="360" w:lineRule="auto"/>
              <w:rPr>
                <w:rFonts w:ascii="宋体" w:hAnsi="宋体" w:cs="宋体"/>
                <w:sz w:val="24"/>
                <w:highlight w:val="none"/>
              </w:rPr>
            </w:pPr>
            <w:r>
              <w:rPr>
                <w:rFonts w:hint="eastAsia" w:ascii="宋体" w:hAnsi="宋体" w:cs="宋体"/>
                <w:sz w:val="24"/>
                <w:highlight w:val="none"/>
              </w:rPr>
              <w:t>a2</w:t>
            </w:r>
          </w:p>
        </w:tc>
        <w:tc>
          <w:tcPr>
            <w:tcW w:w="8232" w:type="dxa"/>
            <w:tcMar>
              <w:top w:w="0" w:type="dxa"/>
              <w:left w:w="95" w:type="dxa"/>
              <w:bottom w:w="0" w:type="dxa"/>
              <w:right w:w="95" w:type="dxa"/>
            </w:tcMar>
            <w:vAlign w:val="center"/>
          </w:tcPr>
          <w:p>
            <w:pPr>
              <w:pageBreakBefore w:val="0"/>
              <w:kinsoku/>
              <w:overflowPunct/>
              <w:bidi w:val="0"/>
              <w:snapToGrid w:val="0"/>
              <w:spacing w:line="360" w:lineRule="auto"/>
              <w:rPr>
                <w:rFonts w:ascii="宋体" w:hAnsi="宋体" w:cs="宋体"/>
                <w:sz w:val="24"/>
                <w:highlight w:val="none"/>
              </w:rPr>
            </w:pPr>
            <w:r>
              <w:rPr>
                <w:rFonts w:hint="eastAsia" w:ascii="宋体" w:hAnsi="宋体" w:cs="宋体"/>
                <w:sz w:val="24"/>
                <w:highlight w:val="none"/>
              </w:rPr>
              <w:t>投标文件对招标文件实质性要求的响应存在重大偏离或保留。</w:t>
            </w:r>
          </w:p>
        </w:tc>
      </w:tr>
    </w:tbl>
    <w:p>
      <w:pPr>
        <w:pageBreakBefore w:val="0"/>
        <w:kinsoku/>
        <w:overflowPunct/>
        <w:bidi w:val="0"/>
        <w:snapToGrid w:val="0"/>
        <w:spacing w:line="360" w:lineRule="auto"/>
        <w:rPr>
          <w:rFonts w:ascii="宋体" w:hAnsi="宋体" w:cs="宋体"/>
          <w:sz w:val="24"/>
          <w:highlight w:val="none"/>
        </w:rPr>
      </w:pPr>
      <w:r>
        <w:rPr>
          <w:rFonts w:hint="eastAsia" w:ascii="宋体" w:hAnsi="宋体" w:cs="宋体"/>
          <w:sz w:val="24"/>
          <w:highlight w:val="none"/>
        </w:rPr>
        <w:t>（7）评标过程中，</w:t>
      </w:r>
      <w:r>
        <w:rPr>
          <w:rFonts w:hint="eastAsia" w:ascii="宋体" w:hAnsi="宋体" w:cs="宋体"/>
          <w:sz w:val="24"/>
          <w:highlight w:val="none"/>
          <w:lang w:eastAsia="zh-CN"/>
        </w:rPr>
        <w:t>存在</w:t>
      </w:r>
      <w:r>
        <w:rPr>
          <w:rFonts w:hint="eastAsia" w:ascii="宋体" w:hAnsi="宋体" w:cs="宋体"/>
          <w:sz w:val="24"/>
          <w:highlight w:val="none"/>
        </w:rPr>
        <w:t>有关法律、法规和规章规定废标的情形，应予废标</w:t>
      </w:r>
      <w:r>
        <w:rPr>
          <w:rFonts w:hint="eastAsia" w:ascii="宋体" w:hAnsi="宋体" w:cs="宋体"/>
          <w:sz w:val="24"/>
          <w:highlight w:val="none"/>
          <w:lang w:eastAsia="zh-CN"/>
        </w:rPr>
        <w:t>。</w:t>
      </w:r>
    </w:p>
    <w:p>
      <w:pPr>
        <w:pageBreakBefore w:val="0"/>
        <w:kinsoku/>
        <w:overflowPunct/>
        <w:bidi w:val="0"/>
        <w:snapToGrid w:val="0"/>
        <w:spacing w:line="360" w:lineRule="auto"/>
        <w:ind w:firstLine="482" w:firstLineChars="200"/>
        <w:rPr>
          <w:rFonts w:ascii="宋体" w:hAnsi="宋体" w:cs="宋体"/>
          <w:sz w:val="24"/>
          <w:highlight w:val="none"/>
        </w:rPr>
      </w:pPr>
      <w:r>
        <w:rPr>
          <w:rFonts w:hint="eastAsia" w:ascii="宋体" w:hAnsi="宋体" w:cs="宋体"/>
          <w:b/>
          <w:bCs/>
          <w:sz w:val="24"/>
          <w:highlight w:val="none"/>
        </w:rPr>
        <w:t>※若废标，则本次采购活动结束，福建省天海招标有限公司将依法组织后续采购活动（包括但不限于：重新招标、采用其他方式采购等）。</w:t>
      </w:r>
    </w:p>
    <w:p>
      <w:pPr>
        <w:pageBreakBefore w:val="0"/>
        <w:kinsoku/>
        <w:overflowPunct/>
        <w:bidi w:val="0"/>
        <w:snapToGrid w:val="0"/>
        <w:spacing w:line="360" w:lineRule="auto"/>
        <w:rPr>
          <w:rFonts w:ascii="宋体" w:hAnsi="宋体" w:cs="宋体"/>
          <w:b/>
          <w:sz w:val="24"/>
          <w:highlight w:val="none"/>
        </w:rPr>
      </w:pPr>
      <w:r>
        <w:rPr>
          <w:rFonts w:hint="eastAsia" w:ascii="宋体" w:hAnsi="宋体" w:cs="宋体"/>
          <w:b/>
          <w:sz w:val="24"/>
          <w:highlight w:val="none"/>
        </w:rPr>
        <w:t>四、评标标准：</w:t>
      </w:r>
    </w:p>
    <w:p>
      <w:pPr>
        <w:pageBreakBefore w:val="0"/>
        <w:kinsoku/>
        <w:overflowPunct/>
        <w:bidi w:val="0"/>
        <w:snapToGrid w:val="0"/>
        <w:spacing w:line="360" w:lineRule="auto"/>
        <w:ind w:firstLine="480" w:firstLineChars="200"/>
        <w:rPr>
          <w:rFonts w:hint="eastAsia" w:asciiTheme="minorEastAsia" w:hAnsiTheme="minorEastAsia" w:eastAsiaTheme="minorEastAsia" w:cstheme="minorEastAsia"/>
          <w:bCs/>
          <w:sz w:val="24"/>
          <w:szCs w:val="24"/>
          <w:highlight w:val="none"/>
        </w:rPr>
      </w:pPr>
      <w:r>
        <w:rPr>
          <w:rFonts w:hint="eastAsia" w:ascii="宋体" w:hAnsi="宋体" w:cs="宋体"/>
          <w:sz w:val="24"/>
          <w:highlight w:val="none"/>
        </w:rPr>
        <w:t>(一)</w:t>
      </w:r>
      <w:r>
        <w:rPr>
          <w:rFonts w:hint="eastAsia" w:ascii="宋体" w:hAnsi="宋体" w:cs="宋体"/>
          <w:sz w:val="24"/>
          <w:highlight w:val="none"/>
          <w:lang w:val="en-US" w:eastAsia="zh-CN"/>
        </w:rPr>
        <w:t xml:space="preserve"> </w:t>
      </w:r>
      <w:r>
        <w:rPr>
          <w:rFonts w:hint="eastAsia" w:asciiTheme="minorEastAsia" w:hAnsiTheme="minorEastAsia" w:eastAsiaTheme="minorEastAsia" w:cstheme="minorEastAsia"/>
          <w:sz w:val="24"/>
          <w:szCs w:val="24"/>
          <w:highlight w:val="none"/>
        </w:rPr>
        <w:t>评标工作将</w:t>
      </w:r>
      <w:r>
        <w:rPr>
          <w:rFonts w:hint="eastAsia" w:asciiTheme="minorEastAsia" w:hAnsiTheme="minorEastAsia" w:eastAsiaTheme="minorEastAsia" w:cstheme="minorEastAsia"/>
          <w:bCs/>
          <w:sz w:val="24"/>
          <w:szCs w:val="24"/>
          <w:highlight w:val="none"/>
        </w:rPr>
        <w:t>遵循“公开、公平、公正”和“诚实信用”的原则。评标委员会将按照规定对各</w:t>
      </w:r>
      <w:r>
        <w:rPr>
          <w:rFonts w:hint="eastAsia" w:asciiTheme="minorEastAsia" w:hAnsiTheme="minorEastAsia" w:eastAsiaTheme="minorEastAsia" w:cstheme="minorEastAsia"/>
          <w:bCs/>
          <w:sz w:val="24"/>
          <w:szCs w:val="24"/>
          <w:highlight w:val="none"/>
          <w:lang w:eastAsia="zh-CN"/>
        </w:rPr>
        <w:t>投标人</w:t>
      </w:r>
      <w:r>
        <w:rPr>
          <w:rFonts w:hint="eastAsia" w:asciiTheme="minorEastAsia" w:hAnsiTheme="minorEastAsia" w:eastAsiaTheme="minorEastAsia" w:cstheme="minorEastAsia"/>
          <w:bCs/>
          <w:sz w:val="24"/>
          <w:szCs w:val="24"/>
          <w:highlight w:val="none"/>
        </w:rPr>
        <w:t>的</w:t>
      </w:r>
      <w:r>
        <w:rPr>
          <w:rFonts w:hint="eastAsia" w:asciiTheme="minorEastAsia" w:hAnsiTheme="minorEastAsia" w:eastAsiaTheme="minorEastAsia" w:cstheme="minorEastAsia"/>
          <w:bCs/>
          <w:sz w:val="24"/>
          <w:szCs w:val="24"/>
          <w:highlight w:val="none"/>
          <w:lang w:eastAsia="zh-CN"/>
        </w:rPr>
        <w:t>投标</w:t>
      </w:r>
      <w:r>
        <w:rPr>
          <w:rFonts w:hint="eastAsia" w:asciiTheme="minorEastAsia" w:hAnsiTheme="minorEastAsia" w:eastAsiaTheme="minorEastAsia" w:cstheme="minorEastAsia"/>
          <w:bCs/>
          <w:sz w:val="24"/>
          <w:szCs w:val="24"/>
          <w:highlight w:val="none"/>
        </w:rPr>
        <w:t>文件采用相同的程序和标准进行评价和比较，评议过程严格按照招标文件的要求和条件进行。</w:t>
      </w:r>
    </w:p>
    <w:p>
      <w:pPr>
        <w:keepNext w:val="0"/>
        <w:keepLines w:val="0"/>
        <w:pageBreakBefore w:val="0"/>
        <w:kinsoku/>
        <w:wordWrap/>
        <w:overflowPunct/>
        <w:topLinePunct w:val="0"/>
        <w:autoSpaceDE/>
        <w:autoSpaceDN/>
        <w:bidi w:val="0"/>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
          <w:sz w:val="24"/>
          <w:szCs w:val="24"/>
          <w:highlight w:val="none"/>
        </w:rPr>
        <w:t>1.评审标准和方法:</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本项目采用</w:t>
      </w:r>
      <w:r>
        <w:rPr>
          <w:rFonts w:hint="eastAsia" w:asciiTheme="minorEastAsia" w:hAnsiTheme="minorEastAsia" w:eastAsiaTheme="minorEastAsia" w:cstheme="minorEastAsia"/>
          <w:b/>
          <w:sz w:val="24"/>
          <w:szCs w:val="24"/>
          <w:highlight w:val="none"/>
        </w:rPr>
        <w:t>最低评标价法（但最低价不作为</w:t>
      </w:r>
      <w:r>
        <w:rPr>
          <w:rFonts w:hint="eastAsia" w:asciiTheme="minorEastAsia" w:hAnsiTheme="minorEastAsia" w:eastAsiaTheme="minorEastAsia" w:cstheme="minorEastAsia"/>
          <w:b/>
          <w:sz w:val="24"/>
          <w:szCs w:val="24"/>
          <w:highlight w:val="none"/>
          <w:lang w:eastAsia="zh-CN"/>
        </w:rPr>
        <w:t>中标</w:t>
      </w:r>
      <w:r>
        <w:rPr>
          <w:rFonts w:hint="eastAsia" w:asciiTheme="minorEastAsia" w:hAnsiTheme="minorEastAsia" w:eastAsiaTheme="minorEastAsia" w:cstheme="minorEastAsia"/>
          <w:b/>
          <w:sz w:val="24"/>
          <w:szCs w:val="24"/>
          <w:highlight w:val="none"/>
        </w:rPr>
        <w:t>保证）</w:t>
      </w:r>
      <w:r>
        <w:rPr>
          <w:rFonts w:hint="eastAsia" w:asciiTheme="minorEastAsia" w:hAnsiTheme="minorEastAsia" w:eastAsiaTheme="minorEastAsia" w:cstheme="minorEastAsia"/>
          <w:sz w:val="24"/>
          <w:szCs w:val="24"/>
          <w:highlight w:val="none"/>
        </w:rPr>
        <w:t>，评标委员会根据下述各项要求综合评估，质量和服务等均完全响应招标文件要求且报价最低的原则推荐</w:t>
      </w:r>
      <w:r>
        <w:rPr>
          <w:rFonts w:hint="eastAsia" w:asciiTheme="minorEastAsia" w:hAnsiTheme="minorEastAsia" w:eastAsiaTheme="minorEastAsia" w:cstheme="minorEastAsia"/>
          <w:sz w:val="24"/>
          <w:szCs w:val="24"/>
          <w:highlight w:val="none"/>
          <w:lang w:eastAsia="zh-CN"/>
        </w:rPr>
        <w:t>中标</w:t>
      </w:r>
      <w:r>
        <w:rPr>
          <w:rFonts w:hint="eastAsia" w:asciiTheme="minorEastAsia" w:hAnsiTheme="minorEastAsia" w:eastAsiaTheme="minorEastAsia" w:cstheme="minorEastAsia"/>
          <w:sz w:val="24"/>
          <w:szCs w:val="24"/>
          <w:highlight w:val="none"/>
        </w:rPr>
        <w:t>候选人。</w:t>
      </w:r>
    </w:p>
    <w:p>
      <w:pPr>
        <w:pStyle w:val="22"/>
        <w:keepNext w:val="0"/>
        <w:keepLines w:val="0"/>
        <w:pageBreakBefore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2.谈判程序</w:t>
      </w:r>
    </w:p>
    <w:p>
      <w:pPr>
        <w:pStyle w:val="22"/>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2.1 在进入谈判阶段之前，评标委员会将依据</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提交的资格证明文件。如果</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无资格履行合同，其报价将被拒绝。</w:t>
      </w:r>
    </w:p>
    <w:p>
      <w:pPr>
        <w:pStyle w:val="22"/>
        <w:keepNext w:val="0"/>
        <w:keepLines w:val="0"/>
        <w:pageBreakBefore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2.2评标委员会还将确定每一投标报价是否对招标文件的要求作出实质性响应，对没有实质性响应的招标文件的将不进入谈判阶段。</w:t>
      </w:r>
    </w:p>
    <w:p>
      <w:pPr>
        <w:pStyle w:val="22"/>
        <w:keepNext w:val="0"/>
        <w:keepLines w:val="0"/>
        <w:pageBreakBefore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2.3评标委员会将邀请</w:t>
      </w:r>
      <w:r>
        <w:rPr>
          <w:rFonts w:hint="eastAsia" w:asciiTheme="minorEastAsia" w:hAnsiTheme="minorEastAsia" w:eastAsiaTheme="minorEastAsia" w:cstheme="minorEastAsia"/>
          <w:sz w:val="24"/>
          <w:szCs w:val="24"/>
          <w:highlight w:val="none"/>
          <w:lang w:eastAsia="zh-CN"/>
        </w:rPr>
        <w:t>投标</w:t>
      </w:r>
      <w:r>
        <w:rPr>
          <w:rFonts w:hint="eastAsia" w:asciiTheme="minorEastAsia" w:hAnsiTheme="minorEastAsia" w:eastAsiaTheme="minorEastAsia" w:cstheme="minorEastAsia"/>
          <w:sz w:val="24"/>
          <w:szCs w:val="24"/>
          <w:highlight w:val="none"/>
        </w:rPr>
        <w:t>文件通过资格性检查和符合性检查、且有实质性响应的</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前来谈判。</w:t>
      </w:r>
    </w:p>
    <w:p>
      <w:pPr>
        <w:pStyle w:val="22"/>
        <w:keepNext w:val="0"/>
        <w:keepLines w:val="0"/>
        <w:pageBreakBefore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2.4评标委员会与进入谈判阶段的</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进行技术、商务谈判。</w:t>
      </w:r>
    </w:p>
    <w:p>
      <w:pPr>
        <w:pStyle w:val="22"/>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（1）技术谈判：在招标代理机构提供的技术要求基础上，评标委员会与</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进行技术谈判并确认；</w:t>
      </w:r>
    </w:p>
    <w:p>
      <w:pPr>
        <w:pStyle w:val="22"/>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（2）商务谈判：在招标代理机构提供的商务要求基础上，评标委员会与</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进行价格、交货期、付款条件、售后服务等谈判并确认。</w:t>
      </w:r>
    </w:p>
    <w:p>
      <w:pPr>
        <w:pStyle w:val="22"/>
        <w:keepNext w:val="0"/>
        <w:keepLines w:val="0"/>
        <w:pageBreakBefore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3.最终报价</w:t>
      </w:r>
    </w:p>
    <w:p>
      <w:pPr>
        <w:pStyle w:val="22"/>
        <w:keepNext w:val="0"/>
        <w:keepLines w:val="0"/>
        <w:pageBreakBefore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3.1 谈判结束后，参加谈判的</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应在规定时间内（具体时间另行通知）提交最终报价表，迟到的最终报价表将被拒绝。</w:t>
      </w:r>
    </w:p>
    <w:p>
      <w:pPr>
        <w:pStyle w:val="22"/>
        <w:keepNext w:val="0"/>
        <w:keepLines w:val="0"/>
        <w:pageBreakBefore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3.2 最终报价表应在第一次报价的基础上进行报价</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rPr>
        <w:t>不得超过第一次报价，否则以第一次报价为准。</w:t>
      </w:r>
    </w:p>
    <w:p>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3.3 最终报价表仅以书面形式（不包括电子邮件、传真等）密封提交（在谈判中如采购人要求</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承诺高于招标文件设备的条款，</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须在报价一览表（最终报价表）相关承诺中进行描述。</w:t>
      </w:r>
    </w:p>
    <w:p>
      <w:pPr>
        <w:keepNext w:val="0"/>
        <w:keepLines w:val="0"/>
        <w:pageBreakBefore w:val="0"/>
        <w:kinsoku/>
        <w:wordWrap/>
        <w:overflowPunct/>
        <w:topLinePunct w:val="0"/>
        <w:autoSpaceDE/>
        <w:autoSpaceDN/>
        <w:bidi w:val="0"/>
        <w:spacing w:line="360" w:lineRule="auto"/>
        <w:ind w:firstLine="48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3.4 若</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的报价明显低于其他报价，使得其投标报价可能低于其个别成本的，有可能影响商品质量或不能诚信履约的，</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应按评标委员会要求作出书面说明并提供相关证明材料，不能合理说明或不能提供相关证明材料的，可作无效投标处理。</w:t>
      </w:r>
    </w:p>
    <w:p>
      <w:pPr>
        <w:keepNext w:val="0"/>
        <w:keepLines w:val="0"/>
        <w:pageBreakBefore w:val="0"/>
        <w:kinsoku/>
        <w:wordWrap/>
        <w:overflowPunct/>
        <w:topLinePunct w:val="0"/>
        <w:autoSpaceDE/>
        <w:autoSpaceDN/>
        <w:bidi w:val="0"/>
        <w:adjustRightInd w:val="0"/>
        <w:snapToGrid w:val="0"/>
        <w:spacing w:line="360" w:lineRule="auto"/>
        <w:ind w:firstLine="470" w:firstLineChars="196"/>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3.5评标委员会将按比较与评价最优在先原则, 排列评价顺序, 根据各项要求综合评估，质量和服务等均完全响应招标文件要求且报价最低的原则推荐</w:t>
      </w:r>
      <w:r>
        <w:rPr>
          <w:rFonts w:hint="eastAsia" w:asciiTheme="minorEastAsia" w:hAnsiTheme="minorEastAsia" w:eastAsiaTheme="minorEastAsia" w:cstheme="minorEastAsia"/>
          <w:sz w:val="24"/>
          <w:szCs w:val="24"/>
          <w:highlight w:val="none"/>
          <w:lang w:eastAsia="zh-CN"/>
        </w:rPr>
        <w:t>中标</w:t>
      </w:r>
      <w:r>
        <w:rPr>
          <w:rFonts w:hint="eastAsia" w:asciiTheme="minorEastAsia" w:hAnsiTheme="minorEastAsia" w:eastAsiaTheme="minorEastAsia" w:cstheme="minorEastAsia"/>
          <w:sz w:val="24"/>
          <w:szCs w:val="24"/>
          <w:highlight w:val="none"/>
        </w:rPr>
        <w:t>候选人。</w:t>
      </w:r>
    </w:p>
    <w:p>
      <w:pPr>
        <w:keepNext w:val="0"/>
        <w:keepLines w:val="0"/>
        <w:pageBreakBefore w:val="0"/>
        <w:kinsoku/>
        <w:wordWrap/>
        <w:overflowPunct/>
        <w:topLinePunct w:val="0"/>
        <w:autoSpaceDE/>
        <w:autoSpaceDN/>
        <w:bidi w:val="0"/>
        <w:spacing w:line="360" w:lineRule="auto"/>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napToGrid w:val="0"/>
          <w:kern w:val="0"/>
          <w:sz w:val="24"/>
          <w:szCs w:val="24"/>
          <w:highlight w:val="none"/>
        </w:rPr>
        <w:t>4．</w:t>
      </w:r>
      <w:r>
        <w:rPr>
          <w:rFonts w:hint="eastAsia" w:asciiTheme="minorEastAsia" w:hAnsiTheme="minorEastAsia" w:eastAsiaTheme="minorEastAsia" w:cstheme="minorEastAsia"/>
          <w:b/>
          <w:sz w:val="24"/>
          <w:szCs w:val="24"/>
          <w:highlight w:val="none"/>
        </w:rPr>
        <w:t>关于节能、减排、环境标志产品部分价格优惠内容及幅度：</w:t>
      </w:r>
    </w:p>
    <w:p>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根据财政部、发展改革委、生态环境部、市场监管总局发布的《关于调整优化节能产品 环境标志产品政府采购执行机制的通知》（财库〔2019〕9号）和财政部、生态环境部发布的《关于印发环境标志产品政府采购品目清单的通知》(财库〔2019〕18号)以及财政部、发展改革委发布的《关于印发节能产品政府采购品目清单的通知》(财库〔2019〕19号)的规定：（1）节能产品政府采购品目清单及环境标志产品政府采购品目清单中带星号等品目为政府强制采购的节能产品，本次采购货物中属政府强制采购节能产品的，投标人应提供所投产品根据《市场监管总局关于发布参与实施政府采购节能产品、环境标志产品认证机构名录的公告》中国家确定的认证机构出具的、处于有效期之内的节能产品认证证书，证明资料复印件加盖投标人公章，否则投标无效。 (2)节能(非强制类产品)、环境标志产品评审优惠内容及幅度如下：</w:t>
      </w:r>
    </w:p>
    <w:tbl>
      <w:tblPr>
        <w:tblStyle w:val="40"/>
        <w:tblW w:w="9721" w:type="dxa"/>
        <w:jc w:val="center"/>
        <w:tblLayout w:type="fixed"/>
        <w:tblCellMar>
          <w:top w:w="0" w:type="dxa"/>
          <w:left w:w="108" w:type="dxa"/>
          <w:bottom w:w="0" w:type="dxa"/>
          <w:right w:w="108" w:type="dxa"/>
        </w:tblCellMar>
      </w:tblPr>
      <w:tblGrid>
        <w:gridCol w:w="794"/>
        <w:gridCol w:w="4460"/>
        <w:gridCol w:w="4467"/>
      </w:tblGrid>
      <w:tr>
        <w:tblPrEx>
          <w:tblCellMar>
            <w:top w:w="0" w:type="dxa"/>
            <w:left w:w="108" w:type="dxa"/>
            <w:bottom w:w="0" w:type="dxa"/>
            <w:right w:w="108" w:type="dxa"/>
          </w:tblCellMar>
        </w:tblPrEx>
        <w:trPr>
          <w:trHeight w:val="867" w:hRule="atLeast"/>
          <w:jc w:val="center"/>
        </w:trPr>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评标方法</w:t>
            </w:r>
          </w:p>
        </w:tc>
        <w:tc>
          <w:tcPr>
            <w:tcW w:w="446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同一合同包内的节能、减排、环境标志产品投标总金额占本合同包投标总金额</w:t>
            </w:r>
          </w:p>
        </w:tc>
        <w:tc>
          <w:tcPr>
            <w:tcW w:w="446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优惠幅度</w:t>
            </w:r>
          </w:p>
        </w:tc>
      </w:tr>
      <w:tr>
        <w:tblPrEx>
          <w:tblCellMar>
            <w:top w:w="0" w:type="dxa"/>
            <w:left w:w="108" w:type="dxa"/>
            <w:bottom w:w="0" w:type="dxa"/>
            <w:right w:w="108" w:type="dxa"/>
          </w:tblCellMar>
        </w:tblPrEx>
        <w:trPr>
          <w:trHeight w:val="316" w:hRule="atLeast"/>
          <w:jc w:val="center"/>
        </w:trPr>
        <w:tc>
          <w:tcPr>
            <w:tcW w:w="794"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最低评标价法</w:t>
            </w:r>
          </w:p>
        </w:tc>
        <w:tc>
          <w:tcPr>
            <w:tcW w:w="446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10%（含10%）以下</w:t>
            </w:r>
          </w:p>
        </w:tc>
        <w:tc>
          <w:tcPr>
            <w:tcW w:w="446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给予每个单项投标报价3%的价格扣除</w:t>
            </w:r>
          </w:p>
        </w:tc>
      </w:tr>
      <w:tr>
        <w:tblPrEx>
          <w:tblCellMar>
            <w:top w:w="0" w:type="dxa"/>
            <w:left w:w="108" w:type="dxa"/>
            <w:bottom w:w="0" w:type="dxa"/>
            <w:right w:w="108" w:type="dxa"/>
          </w:tblCellMar>
        </w:tblPrEx>
        <w:trPr>
          <w:trHeight w:val="316" w:hRule="atLeast"/>
          <w:jc w:val="center"/>
        </w:trPr>
        <w:tc>
          <w:tcPr>
            <w:tcW w:w="79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sz w:val="24"/>
                <w:szCs w:val="24"/>
                <w:highlight w:val="none"/>
              </w:rPr>
            </w:pPr>
          </w:p>
        </w:tc>
        <w:tc>
          <w:tcPr>
            <w:tcW w:w="446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10%-30%（含30%）</w:t>
            </w:r>
          </w:p>
        </w:tc>
        <w:tc>
          <w:tcPr>
            <w:tcW w:w="446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给予每个单项投标报价6%的价格扣除</w:t>
            </w:r>
          </w:p>
        </w:tc>
      </w:tr>
      <w:tr>
        <w:tblPrEx>
          <w:tblCellMar>
            <w:top w:w="0" w:type="dxa"/>
            <w:left w:w="108" w:type="dxa"/>
            <w:bottom w:w="0" w:type="dxa"/>
            <w:right w:w="108" w:type="dxa"/>
          </w:tblCellMar>
        </w:tblPrEx>
        <w:trPr>
          <w:trHeight w:val="316" w:hRule="atLeast"/>
          <w:jc w:val="center"/>
        </w:trPr>
        <w:tc>
          <w:tcPr>
            <w:tcW w:w="79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sz w:val="24"/>
                <w:szCs w:val="24"/>
                <w:highlight w:val="none"/>
              </w:rPr>
            </w:pPr>
          </w:p>
        </w:tc>
        <w:tc>
          <w:tcPr>
            <w:tcW w:w="446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30%-50%（含50%）</w:t>
            </w:r>
          </w:p>
        </w:tc>
        <w:tc>
          <w:tcPr>
            <w:tcW w:w="446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给予每个单项投标报价8%的价格扣除</w:t>
            </w:r>
          </w:p>
        </w:tc>
      </w:tr>
      <w:tr>
        <w:tblPrEx>
          <w:tblCellMar>
            <w:top w:w="0" w:type="dxa"/>
            <w:left w:w="108" w:type="dxa"/>
            <w:bottom w:w="0" w:type="dxa"/>
            <w:right w:w="108" w:type="dxa"/>
          </w:tblCellMar>
        </w:tblPrEx>
        <w:trPr>
          <w:trHeight w:val="316" w:hRule="atLeast"/>
          <w:jc w:val="center"/>
        </w:trPr>
        <w:tc>
          <w:tcPr>
            <w:tcW w:w="79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sz w:val="24"/>
                <w:szCs w:val="24"/>
                <w:highlight w:val="none"/>
              </w:rPr>
            </w:pPr>
          </w:p>
        </w:tc>
        <w:tc>
          <w:tcPr>
            <w:tcW w:w="446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50%以上</w:t>
            </w:r>
          </w:p>
        </w:tc>
        <w:tc>
          <w:tcPr>
            <w:tcW w:w="446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给予每个单项投标报价10%的价格扣除</w:t>
            </w:r>
          </w:p>
        </w:tc>
      </w:tr>
    </w:tbl>
    <w:p>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注：投标人在投标时必须对属于节能、环境标志产品单独在节能(非强制类)、环境标志产品统计表中填写，并提供所投产品根据《市场监管总局关于发布参与实施政府采购节能产品、环境标志产品认证机构名录的公告》中国家确定的认证机构出具的、处于有效期之内的节能产品认证证书，证明资料复印件加盖投标人公章，证明资料复印件附在报价部分(如有电子证明资料应上传在对应评分模块)且加盖投标人公章。未单独分项报价或未按规定提供产品的证明资料的不给予加分。投标产品属于节能产品、环境标志产品的，可享受相关的鼓励优惠政策；若节能产品、环境标志产品仅是构成投标产品的部件、组件或零件的，则该投标产品不享受鼓励优惠政策。评标委员会审查此项响应性只根据投标文件本身的内容，而不寻求其他的外部证据。</w:t>
      </w:r>
    </w:p>
    <w:p>
      <w:pPr>
        <w:keepNext w:val="0"/>
        <w:keepLines w:val="0"/>
        <w:pageBreakBefore w:val="0"/>
        <w:kinsoku/>
        <w:wordWrap/>
        <w:overflowPunct/>
        <w:topLinePunct w:val="0"/>
        <w:autoSpaceDE/>
        <w:autoSpaceDN/>
        <w:bidi w:val="0"/>
        <w:spacing w:line="360" w:lineRule="auto"/>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5、关于中小企业生产或销售的产品或服务部分的</w:t>
      </w:r>
      <w:r>
        <w:rPr>
          <w:rFonts w:hint="eastAsia" w:asciiTheme="minorEastAsia" w:hAnsiTheme="minorEastAsia" w:eastAsiaTheme="minorEastAsia" w:cstheme="minorEastAsia"/>
          <w:b/>
          <w:snapToGrid w:val="0"/>
          <w:kern w:val="0"/>
          <w:sz w:val="24"/>
          <w:szCs w:val="24"/>
          <w:highlight w:val="none"/>
        </w:rPr>
        <w:t>评审优惠内容及幅度：</w:t>
      </w:r>
    </w:p>
    <w:p>
      <w:pPr>
        <w:keepNext w:val="0"/>
        <w:keepLines w:val="0"/>
        <w:pageBreakBefore w:val="0"/>
        <w:kinsoku/>
        <w:wordWrap/>
        <w:overflowPunct/>
        <w:topLinePunct w:val="0"/>
        <w:autoSpaceDE/>
        <w:autoSpaceDN/>
        <w:bidi w:val="0"/>
        <w:spacing w:line="360" w:lineRule="auto"/>
        <w:ind w:firstLine="235" w:firstLineChars="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t xml:space="preserve">根据中华人民共和国财政部、中华人民共和国工业和信息化部《政府采购促进中小企业发展暂行办法》（财库[2011]181号）文件的规定，中小企业参与投标报价享受相应优惠对小型和微型企业产品的价格给予6%的价格扣除，用扣除后的价格参与价格分的评审。符合财政部、司法部文件（财库[2014]68号）规定的监狱企业亦可享受扶持政策。所有扣除价格的货币单位与投标人报价的货币单位一致。 </w:t>
      </w:r>
    </w:p>
    <w:p>
      <w:pPr>
        <w:keepNext w:val="0"/>
        <w:keepLines w:val="0"/>
        <w:pageBreakBefore w:val="0"/>
        <w:kinsoku/>
        <w:wordWrap/>
        <w:overflowPunct/>
        <w:topLinePunct w:val="0"/>
        <w:autoSpaceDE/>
        <w:autoSpaceDN/>
        <w:bidi w:val="0"/>
        <w:spacing w:line="360" w:lineRule="auto"/>
        <w:ind w:firstLine="235" w:firstLineChars="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t xml:space="preserve">（1）中小企业（含中型、小型、微型企业，下同）应当同时符合以下条件： </w:t>
      </w:r>
    </w:p>
    <w:p>
      <w:pPr>
        <w:keepNext w:val="0"/>
        <w:keepLines w:val="0"/>
        <w:pageBreakBefore w:val="0"/>
        <w:kinsoku/>
        <w:wordWrap/>
        <w:overflowPunct/>
        <w:topLinePunct w:val="0"/>
        <w:autoSpaceDE/>
        <w:autoSpaceDN/>
        <w:bidi w:val="0"/>
        <w:spacing w:line="360" w:lineRule="auto"/>
        <w:ind w:firstLine="715" w:firstLineChars="2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t>① 符合中小企业划分标准（按《关于印发中小企业划型标准规定的通知》（工信部联企业〔2011〕300号）执行）。</w:t>
      </w:r>
    </w:p>
    <w:p>
      <w:pPr>
        <w:keepNext w:val="0"/>
        <w:keepLines w:val="0"/>
        <w:pageBreakBefore w:val="0"/>
        <w:kinsoku/>
        <w:wordWrap/>
        <w:overflowPunct/>
        <w:topLinePunct w:val="0"/>
        <w:autoSpaceDE/>
        <w:autoSpaceDN/>
        <w:bidi w:val="0"/>
        <w:spacing w:line="360" w:lineRule="auto"/>
        <w:ind w:firstLine="475" w:firstLineChars="1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t xml:space="preserve"> </w:t>
      </w:r>
      <w:r>
        <w:rPr>
          <w:rStyle w:val="43"/>
          <w:rFonts w:hint="eastAsia" w:asciiTheme="minorEastAsia" w:hAnsiTheme="minorEastAsia" w:eastAsiaTheme="minorEastAsia" w:cstheme="minorEastAsia"/>
          <w:b w:val="0"/>
          <w:sz w:val="24"/>
          <w:szCs w:val="24"/>
          <w:highlight w:val="none"/>
          <w:lang w:val="en-US" w:eastAsia="zh-CN"/>
        </w:rPr>
        <w:t xml:space="preserve"> </w:t>
      </w:r>
      <w:r>
        <w:rPr>
          <w:rStyle w:val="43"/>
          <w:rFonts w:hint="eastAsia" w:asciiTheme="minorEastAsia" w:hAnsiTheme="minorEastAsia" w:eastAsiaTheme="minorEastAsia" w:cstheme="minorEastAsia"/>
          <w:b w:val="0"/>
          <w:sz w:val="24"/>
          <w:szCs w:val="24"/>
          <w:highlight w:val="none"/>
        </w:rPr>
        <w:t xml:space="preserve">② 提供本企业制造的货物、承担的工程或者服务，或者提供其他中小企业制造的货物。本项所称货物不包括使用大型企业注册商标的货物。 </w:t>
      </w:r>
    </w:p>
    <w:p>
      <w:pPr>
        <w:keepNext w:val="0"/>
        <w:keepLines w:val="0"/>
        <w:pageBreakBefore w:val="0"/>
        <w:kinsoku/>
        <w:wordWrap/>
        <w:overflowPunct/>
        <w:topLinePunct w:val="0"/>
        <w:autoSpaceDE/>
        <w:autoSpaceDN/>
        <w:bidi w:val="0"/>
        <w:spacing w:line="360" w:lineRule="auto"/>
        <w:ind w:firstLine="715" w:firstLineChars="2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t xml:space="preserve">③ 小型、微型企业提供中型企业制造的货物的，视同为中型企业。 </w:t>
      </w:r>
    </w:p>
    <w:p>
      <w:pPr>
        <w:keepNext w:val="0"/>
        <w:keepLines w:val="0"/>
        <w:pageBreakBefore w:val="0"/>
        <w:kinsoku/>
        <w:wordWrap/>
        <w:overflowPunct/>
        <w:topLinePunct w:val="0"/>
        <w:autoSpaceDE/>
        <w:autoSpaceDN/>
        <w:bidi w:val="0"/>
        <w:spacing w:line="360" w:lineRule="auto"/>
        <w:ind w:firstLine="240" w:firstLineChars="100"/>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t xml:space="preserve">（2）小型和微型企业适用优惠内容及幅度时须提供相关资料，否则不给予价格扣除： </w:t>
      </w:r>
    </w:p>
    <w:p>
      <w:pPr>
        <w:keepNext w:val="0"/>
        <w:keepLines w:val="0"/>
        <w:pageBreakBefore w:val="0"/>
        <w:kinsoku/>
        <w:wordWrap/>
        <w:overflowPunct/>
        <w:topLinePunct w:val="0"/>
        <w:autoSpaceDE/>
        <w:autoSpaceDN/>
        <w:bidi w:val="0"/>
        <w:spacing w:line="360" w:lineRule="auto"/>
        <w:ind w:firstLine="715" w:firstLineChars="2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t xml:space="preserve">① 《中小企业生产或销售的产品或服务优惠明细表》。 </w:t>
      </w:r>
    </w:p>
    <w:p>
      <w:pPr>
        <w:keepNext w:val="0"/>
        <w:keepLines w:val="0"/>
        <w:pageBreakBefore w:val="0"/>
        <w:kinsoku/>
        <w:wordWrap/>
        <w:overflowPunct/>
        <w:topLinePunct w:val="0"/>
        <w:autoSpaceDE/>
        <w:autoSpaceDN/>
        <w:bidi w:val="0"/>
        <w:spacing w:line="360" w:lineRule="auto"/>
        <w:ind w:firstLine="715" w:firstLineChars="2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t xml:space="preserve">② 《中小企业声明函》（格式附后）。 </w:t>
      </w:r>
    </w:p>
    <w:p>
      <w:pPr>
        <w:keepNext w:val="0"/>
        <w:keepLines w:val="0"/>
        <w:pageBreakBefore w:val="0"/>
        <w:kinsoku/>
        <w:wordWrap/>
        <w:overflowPunct/>
        <w:topLinePunct w:val="0"/>
        <w:autoSpaceDE/>
        <w:autoSpaceDN/>
        <w:bidi w:val="0"/>
        <w:spacing w:line="360" w:lineRule="auto"/>
        <w:ind w:firstLine="475" w:firstLineChars="1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t xml:space="preserve">注：中小微企业划分标准表（工信部联企业〔2011〕300号）若所投标产品为进口产品的，不适用《政府采购促进中小企业发展暂行办法》。 </w:t>
      </w:r>
    </w:p>
    <w:p>
      <w:pPr>
        <w:keepNext w:val="0"/>
        <w:keepLines w:val="0"/>
        <w:pageBreakBefore w:val="0"/>
        <w:kinsoku/>
        <w:wordWrap/>
        <w:overflowPunct/>
        <w:topLinePunct w:val="0"/>
        <w:autoSpaceDE/>
        <w:autoSpaceDN/>
        <w:bidi w:val="0"/>
        <w:spacing w:line="360" w:lineRule="auto"/>
        <w:ind w:firstLine="235" w:firstLineChars="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t xml:space="preserve">（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 ①监狱企业参加采购活动时，提供由省级及以上监狱管理局、戒毒管理局（含新疆生产建设兵团）出具的属于监狱企业的证明文件。 ② 监狱企业视同小型、微型企业。 以上所有证明文件复印件须加盖投标人公章并注明“与原件一致”，否则不予价格扣除。评标委员会审查此项响应性只根据投标文件本身的内容，而不寻求其他的外部证据。 《三部门联合发布关于促进残疾人就业政府采购政策的通知》价格的扣除： </w:t>
      </w:r>
    </w:p>
    <w:p>
      <w:pPr>
        <w:keepNext w:val="0"/>
        <w:keepLines w:val="0"/>
        <w:pageBreakBefore w:val="0"/>
        <w:kinsoku/>
        <w:wordWrap/>
        <w:overflowPunct/>
        <w:topLinePunct w:val="0"/>
        <w:autoSpaceDE/>
        <w:autoSpaceDN/>
        <w:bidi w:val="0"/>
        <w:spacing w:line="360" w:lineRule="auto"/>
        <w:ind w:firstLine="475" w:firstLineChars="1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fldChar w:fldCharType="begin"/>
      </w:r>
      <w:r>
        <w:rPr>
          <w:rStyle w:val="43"/>
          <w:rFonts w:hint="eastAsia" w:asciiTheme="minorEastAsia" w:hAnsiTheme="minorEastAsia" w:eastAsiaTheme="minorEastAsia" w:cstheme="minorEastAsia"/>
          <w:b w:val="0"/>
          <w:sz w:val="24"/>
          <w:szCs w:val="24"/>
          <w:highlight w:val="none"/>
        </w:rPr>
        <w:instrText xml:space="preserve"> = 1 \* GB3 \* MERGEFORMAT </w:instrText>
      </w:r>
      <w:r>
        <w:rPr>
          <w:rStyle w:val="43"/>
          <w:rFonts w:hint="eastAsia" w:asciiTheme="minorEastAsia" w:hAnsiTheme="minorEastAsia" w:eastAsiaTheme="minorEastAsia" w:cstheme="minorEastAsia"/>
          <w:b w:val="0"/>
          <w:sz w:val="24"/>
          <w:szCs w:val="24"/>
          <w:highlight w:val="none"/>
        </w:rPr>
        <w:fldChar w:fldCharType="separate"/>
      </w:r>
      <w:r>
        <w:rPr>
          <w:highlight w:val="none"/>
        </w:rPr>
        <w:t>①</w:t>
      </w:r>
      <w:r>
        <w:rPr>
          <w:rStyle w:val="43"/>
          <w:rFonts w:hint="eastAsia" w:asciiTheme="minorEastAsia" w:hAnsiTheme="minorEastAsia" w:eastAsiaTheme="minorEastAsia" w:cstheme="minorEastAsia"/>
          <w:b w:val="0"/>
          <w:sz w:val="24"/>
          <w:szCs w:val="24"/>
          <w:highlight w:val="none"/>
        </w:rPr>
        <w:fldChar w:fldCharType="end"/>
      </w:r>
      <w:r>
        <w:rPr>
          <w:rStyle w:val="43"/>
          <w:rFonts w:hint="eastAsia" w:asciiTheme="minorEastAsia" w:hAnsiTheme="minorEastAsia" w:eastAsiaTheme="minorEastAsia" w:cstheme="minorEastAsia"/>
          <w:b w:val="0"/>
          <w:sz w:val="24"/>
          <w:szCs w:val="24"/>
          <w:highlight w:val="none"/>
          <w:lang w:val="en-US" w:eastAsia="zh-CN"/>
        </w:rPr>
        <w:t xml:space="preserve"> </w:t>
      </w:r>
      <w:r>
        <w:rPr>
          <w:rStyle w:val="43"/>
          <w:rFonts w:hint="eastAsia" w:asciiTheme="minorEastAsia" w:hAnsiTheme="minorEastAsia" w:eastAsiaTheme="minorEastAsia" w:cstheme="minorEastAsia"/>
          <w:b w:val="0"/>
          <w:sz w:val="24"/>
          <w:szCs w:val="24"/>
          <w:highlight w:val="none"/>
        </w:rPr>
        <w:t xml:space="preserve">根据财政部、民政部、中国残疾人联合会印发的《三部门联合发布关于促进残疾人就业政府采购政策的通知》财库〔2017〕141号，依照《政府采购法》、《残疾人保障法》等法律法规及相关规定，享受政府采购支持政策的残疾人福利性单位应当同时满足以下条件： (1)安置的残疾人占本单位在职职工人数的比例不低于25%(含25%)，并且安置的残疾人人数不少于10人(含10人)； (2)依法与安置的每位残疾人签订了一年以上(含一年)的劳动合同或服务协议； (3)为安置的每位残疾人按月足额缴纳了基本养老保险、基本医疗保险、失业保险、工伤保险和生育保险等社会保险费； (4)通过银行等金融机构向安置的每位残疾人，按月支付了不低于单位所在区县适用的经省 级人民政府批准的月最低工资标准的工资； (5)提供本单位制造的货物、承担的工程或者服务(以下简称产品)，或者提供其他残疾人福利性单位制造的货物(不包括使用非残疾人福利性单位注册商 标的货物)。 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 </w:t>
      </w:r>
    </w:p>
    <w:p>
      <w:pPr>
        <w:keepNext w:val="0"/>
        <w:keepLines w:val="0"/>
        <w:pageBreakBefore w:val="0"/>
        <w:kinsoku/>
        <w:wordWrap/>
        <w:overflowPunct/>
        <w:topLinePunct w:val="0"/>
        <w:autoSpaceDE/>
        <w:autoSpaceDN/>
        <w:bidi w:val="0"/>
        <w:spacing w:line="360" w:lineRule="auto"/>
        <w:ind w:firstLine="235" w:firstLineChars="98"/>
        <w:textAlignment w:val="auto"/>
        <w:rPr>
          <w:rStyle w:val="43"/>
          <w:rFonts w:hint="eastAsia" w:asciiTheme="minorEastAsia" w:hAnsiTheme="minorEastAsia" w:eastAsiaTheme="minorEastAsia" w:cstheme="minorEastAsia"/>
          <w:b w:val="0"/>
          <w:sz w:val="24"/>
          <w:szCs w:val="24"/>
          <w:highlight w:val="none"/>
        </w:rPr>
      </w:pPr>
      <w:r>
        <w:rPr>
          <w:rStyle w:val="43"/>
          <w:rFonts w:hint="eastAsia" w:asciiTheme="minorEastAsia" w:hAnsiTheme="minorEastAsia" w:eastAsiaTheme="minorEastAsia" w:cstheme="minorEastAsia"/>
          <w:b w:val="0"/>
          <w:sz w:val="24"/>
          <w:szCs w:val="24"/>
          <w:highlight w:val="none"/>
        </w:rPr>
        <w:fldChar w:fldCharType="begin"/>
      </w:r>
      <w:r>
        <w:rPr>
          <w:rStyle w:val="43"/>
          <w:rFonts w:hint="eastAsia" w:asciiTheme="minorEastAsia" w:hAnsiTheme="minorEastAsia" w:eastAsiaTheme="minorEastAsia" w:cstheme="minorEastAsia"/>
          <w:b w:val="0"/>
          <w:sz w:val="24"/>
          <w:szCs w:val="24"/>
          <w:highlight w:val="none"/>
        </w:rPr>
        <w:instrText xml:space="preserve"> = 2 \* GB3 \* MERGEFORMAT </w:instrText>
      </w:r>
      <w:r>
        <w:rPr>
          <w:rStyle w:val="43"/>
          <w:rFonts w:hint="eastAsia" w:asciiTheme="minorEastAsia" w:hAnsiTheme="minorEastAsia" w:eastAsiaTheme="minorEastAsia" w:cstheme="minorEastAsia"/>
          <w:b w:val="0"/>
          <w:sz w:val="24"/>
          <w:szCs w:val="24"/>
          <w:highlight w:val="none"/>
        </w:rPr>
        <w:fldChar w:fldCharType="separate"/>
      </w:r>
      <w:r>
        <w:rPr>
          <w:highlight w:val="none"/>
        </w:rPr>
        <w:t>②</w:t>
      </w:r>
      <w:r>
        <w:rPr>
          <w:rStyle w:val="43"/>
          <w:rFonts w:hint="eastAsia" w:asciiTheme="minorEastAsia" w:hAnsiTheme="minorEastAsia" w:eastAsiaTheme="minorEastAsia" w:cstheme="minorEastAsia"/>
          <w:b w:val="0"/>
          <w:sz w:val="24"/>
          <w:szCs w:val="24"/>
          <w:highlight w:val="none"/>
        </w:rPr>
        <w:fldChar w:fldCharType="end"/>
      </w:r>
      <w:r>
        <w:rPr>
          <w:rStyle w:val="43"/>
          <w:rFonts w:hint="eastAsia" w:asciiTheme="minorEastAsia" w:hAnsiTheme="minorEastAsia" w:eastAsiaTheme="minorEastAsia" w:cstheme="minorEastAsia"/>
          <w:b w:val="0"/>
          <w:sz w:val="24"/>
          <w:szCs w:val="24"/>
          <w:highlight w:val="none"/>
          <w:lang w:val="en-US" w:eastAsia="zh-CN"/>
        </w:rPr>
        <w:t xml:space="preserve"> </w:t>
      </w:r>
      <w:r>
        <w:rPr>
          <w:rStyle w:val="43"/>
          <w:rFonts w:hint="eastAsia" w:asciiTheme="minorEastAsia" w:hAnsiTheme="minorEastAsia" w:eastAsiaTheme="minorEastAsia" w:cstheme="minorEastAsia"/>
          <w:b w:val="0"/>
          <w:sz w:val="24"/>
          <w:szCs w:val="24"/>
          <w:highlight w:val="none"/>
        </w:rPr>
        <w:t xml:space="preserve">符合条件的残疾人福利性单位在参加政府采购活动时，应当提供《三部门联合发布关于促进残疾人就业政府采购政策的通知》规定的《残疾人福利性单位声明函》(见中国政府采购网 http://www.ccgp.gov.cn/news/201709/t20170901_8784576.htm )，并对声明的真实性负责。 </w:t>
      </w:r>
    </w:p>
    <w:p>
      <w:pPr>
        <w:keepNext w:val="0"/>
        <w:keepLines w:val="0"/>
        <w:pageBreakBefore w:val="0"/>
        <w:kinsoku/>
        <w:wordWrap/>
        <w:overflowPunct/>
        <w:topLinePunct w:val="0"/>
        <w:autoSpaceDE/>
        <w:autoSpaceDN/>
        <w:bidi w:val="0"/>
        <w:spacing w:line="360" w:lineRule="auto"/>
        <w:ind w:firstLine="235" w:firstLineChars="98"/>
        <w:textAlignment w:val="auto"/>
        <w:rPr>
          <w:rFonts w:hint="eastAsia" w:asciiTheme="minorEastAsia" w:hAnsiTheme="minorEastAsia" w:eastAsiaTheme="minorEastAsia" w:cstheme="minorEastAsia"/>
          <w:bCs/>
          <w:sz w:val="24"/>
          <w:szCs w:val="24"/>
          <w:highlight w:val="none"/>
        </w:rPr>
      </w:pPr>
      <w:r>
        <w:rPr>
          <w:rStyle w:val="43"/>
          <w:rFonts w:hint="eastAsia" w:asciiTheme="minorEastAsia" w:hAnsiTheme="minorEastAsia" w:eastAsiaTheme="minorEastAsia" w:cstheme="minorEastAsia"/>
          <w:b w:val="0"/>
          <w:sz w:val="24"/>
          <w:szCs w:val="24"/>
          <w:highlight w:val="none"/>
        </w:rPr>
        <w:fldChar w:fldCharType="begin"/>
      </w:r>
      <w:r>
        <w:rPr>
          <w:rStyle w:val="43"/>
          <w:rFonts w:hint="eastAsia" w:asciiTheme="minorEastAsia" w:hAnsiTheme="minorEastAsia" w:eastAsiaTheme="minorEastAsia" w:cstheme="minorEastAsia"/>
          <w:b w:val="0"/>
          <w:sz w:val="24"/>
          <w:szCs w:val="24"/>
          <w:highlight w:val="none"/>
        </w:rPr>
        <w:instrText xml:space="preserve"> = 3 \* GB3 \* MERGEFORMAT </w:instrText>
      </w:r>
      <w:r>
        <w:rPr>
          <w:rStyle w:val="43"/>
          <w:rFonts w:hint="eastAsia" w:asciiTheme="minorEastAsia" w:hAnsiTheme="minorEastAsia" w:eastAsiaTheme="minorEastAsia" w:cstheme="minorEastAsia"/>
          <w:b w:val="0"/>
          <w:sz w:val="24"/>
          <w:szCs w:val="24"/>
          <w:highlight w:val="none"/>
        </w:rPr>
        <w:fldChar w:fldCharType="separate"/>
      </w:r>
      <w:r>
        <w:rPr>
          <w:highlight w:val="none"/>
        </w:rPr>
        <w:t>③</w:t>
      </w:r>
      <w:r>
        <w:rPr>
          <w:rStyle w:val="43"/>
          <w:rFonts w:hint="eastAsia" w:asciiTheme="minorEastAsia" w:hAnsiTheme="minorEastAsia" w:eastAsiaTheme="minorEastAsia" w:cstheme="minorEastAsia"/>
          <w:b w:val="0"/>
          <w:sz w:val="24"/>
          <w:szCs w:val="24"/>
          <w:highlight w:val="none"/>
        </w:rPr>
        <w:fldChar w:fldCharType="end"/>
      </w:r>
      <w:r>
        <w:rPr>
          <w:rStyle w:val="43"/>
          <w:rFonts w:hint="eastAsia" w:asciiTheme="minorEastAsia" w:hAnsiTheme="minorEastAsia" w:eastAsiaTheme="minorEastAsia" w:cstheme="minorEastAsia"/>
          <w:b w:val="0"/>
          <w:sz w:val="24"/>
          <w:szCs w:val="24"/>
          <w:highlight w:val="none"/>
          <w:lang w:val="en-US" w:eastAsia="zh-CN"/>
        </w:rPr>
        <w:t xml:space="preserve"> </w:t>
      </w:r>
      <w:r>
        <w:rPr>
          <w:rStyle w:val="43"/>
          <w:rFonts w:hint="eastAsia" w:asciiTheme="minorEastAsia" w:hAnsiTheme="minorEastAsia" w:eastAsiaTheme="minorEastAsia" w:cstheme="minorEastAsia"/>
          <w:b w:val="0"/>
          <w:sz w:val="24"/>
          <w:szCs w:val="24"/>
          <w:highlight w:val="none"/>
        </w:rPr>
        <w:t>在政府采购活动中，残疾人福利性单位视同小型、微型企业，享受“《政府采购促进中小企业发展暂行办法》价格的扣除”的政府采购政策。残疾人福利性单位属于小型、微型企业的，不重复享受政策。</w:t>
      </w:r>
    </w:p>
    <w:p>
      <w:pPr>
        <w:pageBreakBefore w:val="0"/>
        <w:kinsoku/>
        <w:overflowPunct/>
        <w:bidi w:val="0"/>
        <w:spacing w:line="360" w:lineRule="auto"/>
        <w:rPr>
          <w:rFonts w:ascii="宋体" w:hAnsi="宋体" w:cs="宋体"/>
          <w:sz w:val="24"/>
          <w:highlight w:val="none"/>
        </w:rPr>
      </w:pPr>
      <w:r>
        <w:rPr>
          <w:rFonts w:hint="eastAsia" w:asciiTheme="minorEastAsia" w:hAnsiTheme="minorEastAsia" w:eastAsiaTheme="minorEastAsia" w:cstheme="minorEastAsia"/>
          <w:sz w:val="24"/>
          <w:szCs w:val="24"/>
          <w:highlight w:val="none"/>
        </w:rPr>
        <w:fldChar w:fldCharType="begin"/>
      </w:r>
      <w:r>
        <w:rPr>
          <w:rFonts w:hint="eastAsia" w:asciiTheme="minorEastAsia" w:hAnsiTheme="minorEastAsia" w:eastAsiaTheme="minorEastAsia" w:cstheme="minorEastAsia"/>
          <w:sz w:val="24"/>
          <w:szCs w:val="24"/>
          <w:highlight w:val="none"/>
        </w:rPr>
        <w:instrText xml:space="preserve"> = 4 \* GB3 \* MERGEFORMAT </w:instrText>
      </w:r>
      <w:r>
        <w:rPr>
          <w:rFonts w:hint="eastAsia" w:asciiTheme="minorEastAsia" w:hAnsiTheme="minorEastAsia" w:eastAsiaTheme="minorEastAsia" w:cstheme="minorEastAsia"/>
          <w:sz w:val="24"/>
          <w:szCs w:val="24"/>
          <w:highlight w:val="none"/>
        </w:rPr>
        <w:fldChar w:fldCharType="separate"/>
      </w:r>
      <w:r>
        <w:rPr>
          <w:highlight w:val="none"/>
        </w:rPr>
        <w:t>④</w:t>
      </w:r>
      <w:r>
        <w:rPr>
          <w:rFonts w:hint="eastAsia" w:asciiTheme="minorEastAsia" w:hAnsiTheme="minorEastAsia" w:eastAsiaTheme="minorEastAsia" w:cstheme="minorEastAsia"/>
          <w:sz w:val="24"/>
          <w:szCs w:val="24"/>
          <w:highlight w:val="none"/>
        </w:rPr>
        <w:fldChar w:fldCharType="end"/>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若所报投产品为进口产品的，不适用《政府采购促进中小企业发展暂行办法》。</w:t>
      </w:r>
    </w:p>
    <w:p>
      <w:pPr>
        <w:pageBreakBefore w:val="0"/>
        <w:kinsoku/>
        <w:overflowPunct/>
        <w:bidi w:val="0"/>
        <w:spacing w:line="360" w:lineRule="auto"/>
        <w:rPr>
          <w:rFonts w:ascii="宋体" w:hAnsi="宋体" w:cs="宋体"/>
          <w:b/>
          <w:sz w:val="24"/>
          <w:highlight w:val="none"/>
        </w:rPr>
      </w:pPr>
      <w:r>
        <w:rPr>
          <w:rFonts w:hint="eastAsia" w:ascii="宋体" w:hAnsi="宋体" w:cs="宋体"/>
          <w:b/>
          <w:sz w:val="24"/>
          <w:highlight w:val="none"/>
        </w:rPr>
        <w:t>五、废标条款</w:t>
      </w:r>
    </w:p>
    <w:p>
      <w:pPr>
        <w:pageBreakBefore w:val="0"/>
        <w:kinsoku/>
        <w:overflowPunct/>
        <w:bidi w:val="0"/>
        <w:spacing w:line="360" w:lineRule="auto"/>
        <w:ind w:firstLine="480" w:firstLineChars="200"/>
        <w:rPr>
          <w:rFonts w:ascii="宋体" w:hAnsi="宋体" w:cs="宋体"/>
          <w:sz w:val="24"/>
          <w:highlight w:val="none"/>
        </w:rPr>
      </w:pPr>
      <w:r>
        <w:rPr>
          <w:rFonts w:hint="eastAsia" w:ascii="宋体" w:hAnsi="宋体" w:cs="宋体"/>
          <w:kern w:val="0"/>
          <w:sz w:val="24"/>
          <w:highlight w:val="none"/>
        </w:rPr>
        <w:t>在招标采购中，出现下列情形之一的，应予废标：</w:t>
      </w:r>
    </w:p>
    <w:p>
      <w:pPr>
        <w:pageBreakBefore w:val="0"/>
        <w:kinsoku/>
        <w:overflowPunct/>
        <w:bidi w:val="0"/>
        <w:spacing w:line="360" w:lineRule="auto"/>
        <w:rPr>
          <w:rFonts w:ascii="宋体" w:hAnsi="宋体" w:cs="宋体"/>
          <w:kern w:val="0"/>
          <w:sz w:val="24"/>
          <w:highlight w:val="none"/>
        </w:rPr>
      </w:pPr>
      <w:r>
        <w:rPr>
          <w:rFonts w:hint="eastAsia" w:ascii="宋体" w:hAnsi="宋体" w:cs="宋体"/>
          <w:kern w:val="0"/>
          <w:sz w:val="24"/>
          <w:highlight w:val="none"/>
        </w:rPr>
        <w:t>　　(</w:t>
      </w:r>
      <w:r>
        <w:rPr>
          <w:rFonts w:hint="eastAsia" w:ascii="宋体" w:hAnsi="宋体" w:cs="宋体"/>
          <w:kern w:val="0"/>
          <w:sz w:val="24"/>
          <w:highlight w:val="none"/>
          <w:lang w:eastAsia="zh-CN"/>
        </w:rPr>
        <w:t>一</w:t>
      </w:r>
      <w:r>
        <w:rPr>
          <w:rFonts w:hint="eastAsia" w:ascii="宋体" w:hAnsi="宋体" w:cs="宋体"/>
          <w:kern w:val="0"/>
          <w:sz w:val="24"/>
          <w:highlight w:val="none"/>
        </w:rPr>
        <w:t xml:space="preserve">)出现影响采购公正的违法、违规行为的； </w:t>
      </w:r>
    </w:p>
    <w:p>
      <w:pPr>
        <w:pageBreakBefore w:val="0"/>
        <w:kinsoku/>
        <w:overflowPunct/>
        <w:bidi w:val="0"/>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w:t>
      </w:r>
      <w:r>
        <w:rPr>
          <w:rFonts w:hint="eastAsia" w:ascii="宋体" w:hAnsi="宋体" w:cs="宋体"/>
          <w:kern w:val="0"/>
          <w:sz w:val="24"/>
          <w:highlight w:val="none"/>
          <w:lang w:eastAsia="zh-CN"/>
        </w:rPr>
        <w:t>二</w:t>
      </w:r>
      <w:r>
        <w:rPr>
          <w:rFonts w:hint="eastAsia" w:ascii="宋体" w:hAnsi="宋体" w:cs="宋体"/>
          <w:kern w:val="0"/>
          <w:sz w:val="24"/>
          <w:highlight w:val="none"/>
        </w:rPr>
        <w:t>)投标人的报价超过了采购预算，</w:t>
      </w:r>
      <w:r>
        <w:rPr>
          <w:rFonts w:hint="eastAsia" w:ascii="宋体" w:hAnsi="宋体" w:cs="宋体"/>
          <w:kern w:val="0"/>
          <w:sz w:val="24"/>
          <w:highlight w:val="none"/>
          <w:lang w:eastAsia="zh-CN"/>
        </w:rPr>
        <w:t>采购人</w:t>
      </w:r>
      <w:r>
        <w:rPr>
          <w:rFonts w:hint="eastAsia" w:ascii="宋体" w:hAnsi="宋体" w:cs="宋体"/>
          <w:kern w:val="0"/>
          <w:sz w:val="24"/>
          <w:highlight w:val="none"/>
        </w:rPr>
        <w:t xml:space="preserve">不能支付的； </w:t>
      </w:r>
    </w:p>
    <w:p>
      <w:pPr>
        <w:pageBreakBefore w:val="0"/>
        <w:kinsoku/>
        <w:overflowPunct/>
        <w:bidi w:val="0"/>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w:t>
      </w:r>
      <w:r>
        <w:rPr>
          <w:rFonts w:hint="eastAsia" w:ascii="宋体" w:hAnsi="宋体" w:cs="宋体"/>
          <w:kern w:val="0"/>
          <w:sz w:val="24"/>
          <w:highlight w:val="none"/>
          <w:lang w:eastAsia="zh-CN"/>
        </w:rPr>
        <w:t>三</w:t>
      </w:r>
      <w:r>
        <w:rPr>
          <w:rFonts w:hint="eastAsia" w:ascii="宋体" w:hAnsi="宋体" w:cs="宋体"/>
          <w:kern w:val="0"/>
          <w:sz w:val="24"/>
          <w:highlight w:val="none"/>
        </w:rPr>
        <w:t>)因重大变故，采购任务取消的。</w:t>
      </w:r>
    </w:p>
    <w:p>
      <w:pPr>
        <w:pageBreakBefore w:val="0"/>
        <w:kinsoku/>
        <w:overflowPunct/>
        <w:bidi w:val="0"/>
        <w:spacing w:line="360" w:lineRule="auto"/>
        <w:rPr>
          <w:highlight w:val="none"/>
        </w:rPr>
      </w:pP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kern w:val="0"/>
          <w:sz w:val="24"/>
          <w:highlight w:val="none"/>
        </w:rPr>
      </w:pPr>
    </w:p>
    <w:p>
      <w:pPr>
        <w:keepNext w:val="0"/>
        <w:keepLines w:val="0"/>
        <w:pageBreakBefore w:val="0"/>
        <w:kinsoku/>
        <w:overflowPunct/>
        <w:autoSpaceDE/>
        <w:autoSpaceDN/>
        <w:bidi w:val="0"/>
        <w:spacing w:line="360" w:lineRule="auto"/>
        <w:ind w:left="0" w:leftChars="0" w:firstLine="0" w:firstLineChars="0"/>
        <w:jc w:val="center"/>
        <w:textAlignment w:val="auto"/>
        <w:outlineLvl w:val="1"/>
        <w:rPr>
          <w:rFonts w:hint="eastAsia" w:ascii="宋体" w:hAnsi="宋体" w:eastAsia="宋体" w:cs="宋体"/>
          <w:b/>
          <w:color w:val="auto"/>
          <w:sz w:val="24"/>
          <w:highlight w:val="none"/>
        </w:rPr>
      </w:pPr>
      <w:r>
        <w:rPr>
          <w:rFonts w:hint="eastAsia" w:ascii="宋体" w:hAnsi="宋体" w:eastAsia="宋体" w:cs="宋体"/>
          <w:color w:val="auto"/>
          <w:sz w:val="36"/>
          <w:szCs w:val="36"/>
          <w:highlight w:val="none"/>
        </w:rPr>
        <w:br w:type="page"/>
      </w:r>
      <w:bookmarkStart w:id="40" w:name="_Toc492718043"/>
      <w:bookmarkStart w:id="41" w:name="_Toc9633"/>
      <w:r>
        <w:rPr>
          <w:rFonts w:hint="eastAsia" w:ascii="宋体" w:hAnsi="宋体" w:eastAsia="宋体" w:cs="宋体"/>
          <w:b/>
          <w:color w:val="auto"/>
          <w:sz w:val="24"/>
          <w:highlight w:val="none"/>
        </w:rPr>
        <w:t>一、说明</w:t>
      </w:r>
      <w:bookmarkEnd w:id="40"/>
      <w:bookmarkEnd w:id="41"/>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42" w:name="_Toc492718044"/>
      <w:bookmarkStart w:id="43" w:name="_Toc402169058"/>
      <w:r>
        <w:rPr>
          <w:rFonts w:hint="eastAsia" w:ascii="宋体" w:hAnsi="宋体" w:eastAsia="宋体" w:cs="宋体"/>
          <w:color w:val="auto"/>
          <w:sz w:val="24"/>
          <w:highlight w:val="none"/>
        </w:rPr>
        <w:t>1. 适用范围</w:t>
      </w:r>
      <w:bookmarkEnd w:id="42"/>
      <w:bookmarkEnd w:id="43"/>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1.1 本招标文件仅适用于投标邀请中所叙述项目的货物和服务采购。</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44" w:name="_Toc492718045"/>
      <w:bookmarkStart w:id="45" w:name="_Toc402169059"/>
      <w:r>
        <w:rPr>
          <w:rFonts w:hint="eastAsia" w:ascii="宋体" w:hAnsi="宋体" w:eastAsia="宋体" w:cs="宋体"/>
          <w:color w:val="auto"/>
          <w:sz w:val="24"/>
          <w:highlight w:val="none"/>
        </w:rPr>
        <w:t>2. 定义</w:t>
      </w:r>
      <w:bookmarkEnd w:id="44"/>
      <w:bookmarkEnd w:id="45"/>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2.1 “</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”系指本次采购项目的业主方。</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2.2 “招标采购单位”系指组织本次招标活动的</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或招标代理机构。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2.3 “招标代理机构”系指本次招标采购项目活动组织方。</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2.4 “投标人”系指购买了本招标文件，且已经提交或者准备提交本次投标文件的制造商或供货商。</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2.5 “货物”系指卖方按招标文件规定向买方提供的一切货物、备品备件、工具、手册及其它有关技术资料和材料。</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2.6“服务”系指招标文件规定卖方须承担的安装、调试、技术协助、校准、培训以及其他类似的义务。</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46" w:name="_Toc492718046"/>
      <w:r>
        <w:rPr>
          <w:rFonts w:hint="eastAsia" w:ascii="宋体" w:hAnsi="宋体" w:eastAsia="宋体" w:cs="宋体"/>
          <w:color w:val="auto"/>
          <w:sz w:val="24"/>
          <w:highlight w:val="none"/>
        </w:rPr>
        <w:t>3. 合格的投标人</w:t>
      </w:r>
      <w:bookmarkEnd w:id="46"/>
    </w:p>
    <w:p>
      <w:pPr>
        <w:keepNext w:val="0"/>
        <w:keepLines w:val="0"/>
        <w:pageBreakBefore w:val="0"/>
        <w:kinsoku/>
        <w:overflowPunct/>
        <w:autoSpaceDE/>
        <w:autoSpaceDN/>
        <w:bidi w:val="0"/>
        <w:snapToGrid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3.合格的投标人</w:t>
      </w:r>
    </w:p>
    <w:p>
      <w:pPr>
        <w:keepNext w:val="0"/>
        <w:keepLines w:val="0"/>
        <w:pageBreakBefore w:val="0"/>
        <w:kinsoku/>
        <w:overflowPunct/>
        <w:autoSpaceDE/>
        <w:autoSpaceDN/>
        <w:bidi w:val="0"/>
        <w:snapToGrid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3.1在投标人须知前附表中第2项号所规定的资格条件。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3.2 投标人应遵守中国的有关法律、法规和规章的规定。</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投标人参加采购活动前三年内，在经营活动中没有重大违法记录。</w:t>
      </w:r>
      <w:r>
        <w:rPr>
          <w:rFonts w:hint="eastAsia" w:ascii="宋体" w:hAnsi="宋体" w:eastAsia="宋体" w:cs="宋体"/>
          <w:color w:val="auto"/>
          <w:kern w:val="0"/>
          <w:sz w:val="24"/>
          <w:highlight w:val="none"/>
        </w:rPr>
        <w:t>重大违法记录，是指</w:t>
      </w:r>
      <w:r>
        <w:rPr>
          <w:rFonts w:hint="eastAsia" w:ascii="宋体" w:hAnsi="宋体" w:eastAsia="宋体" w:cs="宋体"/>
          <w:color w:val="auto"/>
          <w:kern w:val="0"/>
          <w:sz w:val="24"/>
          <w:highlight w:val="none"/>
          <w:lang w:eastAsia="zh-CN"/>
        </w:rPr>
        <w:t>投标人</w:t>
      </w:r>
      <w:r>
        <w:rPr>
          <w:rFonts w:hint="eastAsia" w:ascii="宋体" w:hAnsi="宋体" w:eastAsia="宋体" w:cs="宋体"/>
          <w:color w:val="auto"/>
          <w:kern w:val="0"/>
          <w:sz w:val="24"/>
          <w:highlight w:val="none"/>
        </w:rPr>
        <w:t>因违法经营受到刑事处罚或者责令停产停业、吊销许可证或者执照、较大数额罚款等行政处罚。</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单位负责人为同一人或者存在控股、管理关系的不同单位，不得参加同一标段投标或者未划分标段的同一招标项目投标。</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与</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存在利害关系可能影响招标公正性的法人、其他组织或者个人，不得参加投标。</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投标代理人在同一个项目中只能接受一个投标人的委托参加投标。</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47" w:name="_Toc492718047"/>
      <w:bookmarkStart w:id="48" w:name="_Toc458611243"/>
      <w:r>
        <w:rPr>
          <w:rFonts w:hint="eastAsia" w:ascii="宋体" w:hAnsi="宋体" w:eastAsia="宋体" w:cs="宋体"/>
          <w:color w:val="auto"/>
          <w:sz w:val="24"/>
          <w:highlight w:val="none"/>
        </w:rPr>
        <w:t>4. 登记报名</w:t>
      </w:r>
      <w:bookmarkEnd w:id="47"/>
      <w:bookmarkEnd w:id="48"/>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4.1投标人应当从招标代理机构合法获得本项目的招标文件并登记报名，否则提出的质疑或提交的投标文件将被拒收。</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49" w:name="_Toc492718048"/>
      <w:r>
        <w:rPr>
          <w:rFonts w:hint="eastAsia" w:ascii="宋体" w:hAnsi="宋体" w:eastAsia="宋体" w:cs="宋体"/>
          <w:color w:val="auto"/>
          <w:sz w:val="24"/>
          <w:highlight w:val="none"/>
        </w:rPr>
        <w:t>5. 投标费用</w:t>
      </w:r>
      <w:bookmarkEnd w:id="49"/>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5.1投标人自行承担其参加投标所涉及的一切费用。</w:t>
      </w:r>
    </w:p>
    <w:p>
      <w:pPr>
        <w:keepNext w:val="0"/>
        <w:keepLines w:val="0"/>
        <w:pageBreakBefore w:val="0"/>
        <w:kinsoku/>
        <w:overflowPunct/>
        <w:autoSpaceDE/>
        <w:autoSpaceDN/>
        <w:bidi w:val="0"/>
        <w:spacing w:line="360" w:lineRule="auto"/>
        <w:ind w:left="0" w:leftChars="0" w:firstLine="0" w:firstLineChars="0"/>
        <w:jc w:val="center"/>
        <w:textAlignment w:val="auto"/>
        <w:outlineLvl w:val="1"/>
        <w:rPr>
          <w:rFonts w:hint="eastAsia" w:ascii="宋体" w:hAnsi="宋体" w:eastAsia="宋体" w:cs="宋体"/>
          <w:b/>
          <w:color w:val="auto"/>
          <w:sz w:val="24"/>
          <w:highlight w:val="none"/>
        </w:rPr>
      </w:pPr>
      <w:bookmarkStart w:id="50" w:name="_Toc492718049"/>
      <w:bookmarkStart w:id="51" w:name="_Toc29602"/>
      <w:r>
        <w:rPr>
          <w:rFonts w:hint="eastAsia" w:ascii="宋体" w:hAnsi="宋体" w:eastAsia="宋体" w:cs="宋体"/>
          <w:b/>
          <w:color w:val="auto"/>
          <w:sz w:val="24"/>
          <w:highlight w:val="none"/>
        </w:rPr>
        <w:t>二、招标文件</w:t>
      </w:r>
      <w:bookmarkEnd w:id="50"/>
      <w:bookmarkEnd w:id="51"/>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52" w:name="_Toc492718050"/>
      <w:r>
        <w:rPr>
          <w:rFonts w:hint="eastAsia" w:ascii="宋体" w:hAnsi="宋体" w:eastAsia="宋体" w:cs="宋体"/>
          <w:color w:val="auto"/>
          <w:sz w:val="24"/>
          <w:highlight w:val="none"/>
        </w:rPr>
        <w:t>6. 招标文件的组成</w:t>
      </w:r>
      <w:bookmarkEnd w:id="52"/>
    </w:p>
    <w:p>
      <w:pPr>
        <w:pStyle w:val="5"/>
        <w:keepNext w:val="0"/>
        <w:keepLines w:val="0"/>
        <w:pageBreakBefore w:val="0"/>
        <w:kinsoku/>
        <w:overflowPunct/>
        <w:autoSpaceDE/>
        <w:autoSpaceDN/>
        <w:bidi w:val="0"/>
        <w:snapToGrid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6.1招标文件用以阐明所需货物招标程序和合同主要条款。招标文件由下述部分组成：</w:t>
      </w:r>
    </w:p>
    <w:p>
      <w:pPr>
        <w:pStyle w:val="5"/>
        <w:keepNext w:val="0"/>
        <w:keepLines w:val="0"/>
        <w:pageBreakBefore w:val="0"/>
        <w:kinsoku/>
        <w:overflowPunct/>
        <w:autoSpaceDE/>
        <w:autoSpaceDN/>
        <w:bidi w:val="0"/>
        <w:snapToGrid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 投标邀请</w:t>
      </w:r>
    </w:p>
    <w:p>
      <w:pPr>
        <w:pStyle w:val="5"/>
        <w:keepNext w:val="0"/>
        <w:keepLines w:val="0"/>
        <w:pageBreakBefore w:val="0"/>
        <w:kinsoku/>
        <w:overflowPunct/>
        <w:autoSpaceDE/>
        <w:autoSpaceDN/>
        <w:bidi w:val="0"/>
        <w:snapToGrid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 投标人须知</w:t>
      </w:r>
    </w:p>
    <w:p>
      <w:pPr>
        <w:pStyle w:val="5"/>
        <w:keepNext w:val="0"/>
        <w:keepLines w:val="0"/>
        <w:pageBreakBefore w:val="0"/>
        <w:kinsoku/>
        <w:overflowPunct/>
        <w:autoSpaceDE/>
        <w:autoSpaceDN/>
        <w:bidi w:val="0"/>
        <w:snapToGrid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 招标内容及要求</w:t>
      </w:r>
    </w:p>
    <w:p>
      <w:pPr>
        <w:pStyle w:val="5"/>
        <w:keepNext w:val="0"/>
        <w:keepLines w:val="0"/>
        <w:pageBreakBefore w:val="0"/>
        <w:kinsoku/>
        <w:overflowPunct/>
        <w:autoSpaceDE/>
        <w:autoSpaceDN/>
        <w:bidi w:val="0"/>
        <w:snapToGrid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 合同(参考文本)</w:t>
      </w:r>
    </w:p>
    <w:p>
      <w:pPr>
        <w:pStyle w:val="5"/>
        <w:keepNext w:val="0"/>
        <w:keepLines w:val="0"/>
        <w:pageBreakBefore w:val="0"/>
        <w:kinsoku/>
        <w:overflowPunct/>
        <w:autoSpaceDE/>
        <w:autoSpaceDN/>
        <w:bidi w:val="0"/>
        <w:snapToGrid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(5) 投标文件格式</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 招标文件的澄清</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.1 投标人对招标文件如有疑问，可申请澄清。申请澄清时应以书面形式并附上营业执照</w:t>
      </w:r>
      <w:r>
        <w:rPr>
          <w:rFonts w:hint="eastAsia" w:ascii="宋体" w:hAnsi="宋体" w:eastAsia="宋体" w:cs="宋体"/>
          <w:color w:val="auto"/>
          <w:sz w:val="24"/>
          <w:highlight w:val="none"/>
          <w:lang w:eastAsia="zh-CN"/>
        </w:rPr>
        <w:t>复印件</w:t>
      </w:r>
      <w:r>
        <w:rPr>
          <w:rFonts w:hint="eastAsia" w:ascii="宋体" w:hAnsi="宋体" w:eastAsia="宋体" w:cs="宋体"/>
          <w:color w:val="auto"/>
          <w:sz w:val="24"/>
          <w:highlight w:val="none"/>
        </w:rPr>
        <w:t>和法人</w:t>
      </w:r>
      <w:r>
        <w:rPr>
          <w:rFonts w:hint="eastAsia" w:ascii="宋体" w:hAnsi="宋体" w:eastAsia="宋体" w:cs="宋体"/>
          <w:color w:val="auto"/>
          <w:sz w:val="24"/>
          <w:highlight w:val="none"/>
          <w:lang w:eastAsia="zh-CN"/>
        </w:rPr>
        <w:t>授权书</w:t>
      </w:r>
      <w:r>
        <w:rPr>
          <w:rFonts w:hint="eastAsia" w:ascii="宋体" w:hAnsi="宋体" w:eastAsia="宋体" w:cs="宋体"/>
          <w:color w:val="auto"/>
          <w:sz w:val="24"/>
          <w:highlight w:val="none"/>
        </w:rPr>
        <w:t>原件提交采购人或招标代理机构。招标代理机构将视情况在投标截止时间前15个日历日（如至原定截止时间不足15个日历日，则需延长开标时间）前将不标明查询来源的书面答复发给</w:t>
      </w:r>
      <w:r>
        <w:rPr>
          <w:rFonts w:ascii="宋体" w:hAnsi="宋体"/>
          <w:sz w:val="24"/>
          <w:highlight w:val="none"/>
        </w:rPr>
        <w:t>所有招标文件收受人</w:t>
      </w:r>
      <w:r>
        <w:rPr>
          <w:rFonts w:hint="eastAsia" w:ascii="宋体" w:hAnsi="宋体" w:eastAsia="宋体" w:cs="宋体"/>
          <w:color w:val="auto"/>
          <w:sz w:val="24"/>
          <w:highlight w:val="none"/>
        </w:rPr>
        <w:t>，并在采购信息发布的媒体上发布更正公告。该澄清内容为招标文件的组成部分。</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53" w:name="_Toc430489120"/>
      <w:bookmarkStart w:id="54" w:name="_Toc415567498"/>
      <w:bookmarkStart w:id="55" w:name="_Toc430490613"/>
      <w:bookmarkStart w:id="56" w:name="_Toc430488645"/>
      <w:bookmarkStart w:id="57" w:name="_Toc430488852"/>
      <w:bookmarkStart w:id="58" w:name="_Toc430422414"/>
      <w:bookmarkStart w:id="59" w:name="_Toc430492127"/>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 招标文件的修改</w:t>
      </w:r>
      <w:bookmarkEnd w:id="53"/>
      <w:bookmarkEnd w:id="54"/>
      <w:bookmarkEnd w:id="55"/>
      <w:bookmarkEnd w:id="56"/>
      <w:bookmarkEnd w:id="57"/>
      <w:bookmarkEnd w:id="58"/>
      <w:bookmarkEnd w:id="59"/>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.1至投标截止日期前15日（如至原定截止时间不足15个日历日，则需延长开标时间），招标代理机构可主动或依投标人要求澄清的问题而修改招标文件，应在原信息发布的媒体上发布更正公告，并以书面形式通知</w:t>
      </w:r>
      <w:r>
        <w:rPr>
          <w:rFonts w:ascii="宋体" w:hAnsi="宋体"/>
          <w:sz w:val="24"/>
          <w:highlight w:val="none"/>
        </w:rPr>
        <w:t>所有招标文件收受人</w:t>
      </w:r>
      <w:r>
        <w:rPr>
          <w:rFonts w:hint="eastAsia" w:ascii="宋体" w:hAnsi="宋体" w:eastAsia="宋体" w:cs="宋体"/>
          <w:color w:val="auto"/>
          <w:sz w:val="24"/>
          <w:highlight w:val="none"/>
        </w:rPr>
        <w:t>。该修改内容为招标文件的组成部分，对投标人具有约束力。但本招标文件第</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.2条规定的推迟投标截止时间和开标时间情形不受本条约束。</w:t>
      </w:r>
    </w:p>
    <w:p>
      <w:pPr>
        <w:keepNext w:val="0"/>
        <w:keepLines w:val="0"/>
        <w:pageBreakBefore w:val="0"/>
        <w:kinsoku/>
        <w:overflowPunct/>
        <w:autoSpaceDE/>
        <w:autoSpaceDN/>
        <w:bidi w:val="0"/>
        <w:spacing w:line="360" w:lineRule="auto"/>
        <w:ind w:firstLine="480" w:firstLineChars="200"/>
        <w:textAlignment w:val="auto"/>
        <w:outlineLvl w:val="9"/>
        <w:rPr>
          <w:rFonts w:hint="eastAsia"/>
          <w:highlight w:val="none"/>
        </w:rPr>
      </w:pP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2为使投标人在准备投标文件时有合理的时间考虑招标文件的修改，招标代理机构可酌情推迟投标截止时间和开标时间，并在采购信息发布的媒体上发布更正公告。该修改内容为招标文件的组成部分。在此情况下，</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和投标人受投标截止期制约的所有权利和义务均应延长至新的截止日期。</w:t>
      </w:r>
    </w:p>
    <w:p>
      <w:pPr>
        <w:keepNext w:val="0"/>
        <w:keepLines w:val="0"/>
        <w:pageBreakBefore w:val="0"/>
        <w:kinsoku/>
        <w:overflowPunct/>
        <w:autoSpaceDE/>
        <w:autoSpaceDN/>
        <w:bidi w:val="0"/>
        <w:spacing w:line="360" w:lineRule="auto"/>
        <w:jc w:val="center"/>
        <w:textAlignment w:val="auto"/>
        <w:outlineLvl w:val="1"/>
        <w:rPr>
          <w:rFonts w:hint="eastAsia" w:ascii="宋体" w:hAnsi="宋体" w:eastAsia="宋体" w:cs="宋体"/>
          <w:b/>
          <w:color w:val="auto"/>
          <w:sz w:val="24"/>
          <w:highlight w:val="none"/>
        </w:rPr>
      </w:pPr>
      <w:bookmarkStart w:id="60" w:name="_Toc402169066"/>
      <w:bookmarkStart w:id="61" w:name="_Toc492718052"/>
      <w:bookmarkStart w:id="62" w:name="_Toc16469"/>
      <w:r>
        <w:rPr>
          <w:rFonts w:hint="eastAsia" w:ascii="宋体" w:hAnsi="宋体" w:eastAsia="宋体" w:cs="宋体"/>
          <w:b/>
          <w:color w:val="auto"/>
          <w:sz w:val="24"/>
          <w:highlight w:val="none"/>
        </w:rPr>
        <w:t>三、投标文件的编写</w:t>
      </w:r>
      <w:bookmarkEnd w:id="60"/>
      <w:bookmarkEnd w:id="61"/>
      <w:bookmarkEnd w:id="62"/>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63" w:name="_Toc492718053"/>
      <w:bookmarkStart w:id="64" w:name="_Toc402169067"/>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 要求</w:t>
      </w:r>
      <w:bookmarkEnd w:id="63"/>
      <w:bookmarkEnd w:id="64"/>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.1投标人应仔细阅读招标文件的所有内容，按照招标文件的要求提交投标文件。投标文件应对招标文件的要求做出实质性响应，应对所提供的证明或佐证材料真实性负责，提供虚假材料谋取中标的其投标无效。</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.2招标代理机构不接受有任何可选择性的报价，</w:t>
      </w:r>
      <w:r>
        <w:rPr>
          <w:rFonts w:hint="eastAsia" w:ascii="宋体" w:hAnsi="宋体" w:eastAsia="宋体" w:cs="宋体"/>
          <w:color w:val="auto"/>
          <w:sz w:val="24"/>
          <w:highlight w:val="none"/>
          <w:lang w:eastAsia="zh-CN"/>
        </w:rPr>
        <w:t>每一合同包</w:t>
      </w:r>
      <w:r>
        <w:rPr>
          <w:rFonts w:hint="eastAsia" w:ascii="宋体" w:hAnsi="宋体" w:eastAsia="宋体" w:cs="宋体"/>
          <w:color w:val="auto"/>
          <w:sz w:val="24"/>
          <w:highlight w:val="none"/>
        </w:rPr>
        <w:t>只能有一个报价。</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65" w:name="_Toc492718054"/>
      <w:bookmarkStart w:id="66" w:name="_Toc402169068"/>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 投标文件语言</w:t>
      </w:r>
      <w:bookmarkEnd w:id="65"/>
      <w:bookmarkEnd w:id="66"/>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1投标文件应用中文书写。投标文件中所附或所引用的原件不是中文时，必须提供具有翻译资质的机构翻译的中文译本。翻译机构应为中国翻译协会成员单位，翻译的中文译本应由翻译人员签名并加盖翻译机构公章，同时提供翻译人员翻译资格证书。投标人投标时提供的中文译本、翻译机构及翻译人员资格证书可为复印件，并加盖投标人公章。各种计量单位及符号应采用国际上统一使用的公制计量单位和符号。</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.2中文译本未按上述要求提供的，认定为该项资格或技术商务的证明文件/材料无效，即该项资格或技术商务要求不符合。</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67" w:name="_Toc492718055"/>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 投标文件的组成</w:t>
      </w:r>
      <w:bookmarkEnd w:id="67"/>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.1投标文件应包括下列部分</w:t>
      </w:r>
    </w:p>
    <w:p>
      <w:pPr>
        <w:keepNext w:val="0"/>
        <w:keepLines w:val="0"/>
        <w:pageBreakBefore w:val="0"/>
        <w:kinsoku/>
        <w:overflowPunct/>
        <w:autoSpaceDE/>
        <w:autoSpaceDN/>
        <w:bidi w:val="0"/>
        <w:spacing w:line="360" w:lineRule="auto"/>
        <w:ind w:firstLine="482" w:firstLineChars="200"/>
        <w:textAlignment w:val="auto"/>
        <w:outlineLvl w:val="9"/>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（一）资格及资信证明部分（单独胶装并密封）</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①投标函</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②投标人的资格及资信证明文件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③保证金提交声明函</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④退回投标保证金的申请函</w:t>
      </w:r>
    </w:p>
    <w:p>
      <w:pPr>
        <w:keepNext w:val="0"/>
        <w:keepLines w:val="0"/>
        <w:pageBreakBefore w:val="0"/>
        <w:kinsoku/>
        <w:overflowPunct/>
        <w:autoSpaceDE/>
        <w:autoSpaceDN/>
        <w:bidi w:val="0"/>
        <w:spacing w:line="360" w:lineRule="auto"/>
        <w:ind w:firstLine="480" w:firstLineChars="200"/>
        <w:textAlignment w:val="auto"/>
        <w:outlineLvl w:val="9"/>
        <w:rPr>
          <w:rFonts w:hint="eastAsia"/>
          <w:highlight w:val="none"/>
        </w:rPr>
      </w:pPr>
      <w:r>
        <w:rPr>
          <w:rFonts w:hint="eastAsia" w:ascii="宋体" w:hAnsi="宋体" w:eastAsia="宋体" w:cs="宋体"/>
          <w:color w:val="auto"/>
          <w:sz w:val="24"/>
          <w:highlight w:val="none"/>
        </w:rPr>
        <w:t>⑤招标代理服务费承诺书</w:t>
      </w:r>
    </w:p>
    <w:p>
      <w:pPr>
        <w:keepNext w:val="0"/>
        <w:keepLines w:val="0"/>
        <w:pageBreakBefore w:val="0"/>
        <w:kinsoku/>
        <w:overflowPunct/>
        <w:autoSpaceDE/>
        <w:autoSpaceDN/>
        <w:bidi w:val="0"/>
        <w:spacing w:line="360" w:lineRule="auto"/>
        <w:ind w:firstLine="482" w:firstLineChars="200"/>
        <w:textAlignment w:val="auto"/>
        <w:outlineLvl w:val="9"/>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（二）报价部分（单独胶装并密封）</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 1 \* GB3 \* MERGEFORMAT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①</w:t>
      </w:r>
      <w:r>
        <w:rPr>
          <w:rFonts w:hint="eastAsia" w:ascii="宋体" w:hAnsi="宋体" w:eastAsia="宋体" w:cs="宋体"/>
          <w:color w:val="auto"/>
          <w:sz w:val="24"/>
          <w:highlight w:val="none"/>
        </w:rPr>
        <w:fldChar w:fldCharType="end"/>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开标一览表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 2 \* GB3 \* MERGEFORMAT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②</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报价一览表（最终报价表）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 3 \* GB3 \* MERGEFORMAT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③</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rPr>
        <w:t xml:space="preserve"> 投标分项报价表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 4 \* GB3 \* MERGEFORMAT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④</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val="zh-CN"/>
        </w:rPr>
        <w:t>招标文件规定的价格扣除证明材料（若有）</w:t>
      </w:r>
    </w:p>
    <w:p>
      <w:pPr>
        <w:keepNext w:val="0"/>
        <w:keepLines w:val="0"/>
        <w:pageBreakBefore w:val="0"/>
        <w:kinsoku/>
        <w:overflowPunct/>
        <w:autoSpaceDE/>
        <w:autoSpaceDN/>
        <w:bidi w:val="0"/>
        <w:spacing w:line="360" w:lineRule="auto"/>
        <w:ind w:firstLine="482" w:firstLineChars="200"/>
        <w:textAlignment w:val="auto"/>
        <w:outlineLvl w:val="9"/>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（三）技术商务部分（单独胶装并密封，包括彩页资料）</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①标的说明一览表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②技术参数偏离表和商务偏离表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③质量保证及售后服务承诺书</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 4 \* GB3 \* MERGEFORMAT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④</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rPr>
        <w:t>投标人提交的其他资料（若有）</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68" w:name="_Toc492718056"/>
      <w:bookmarkStart w:id="69" w:name="_Toc402169070"/>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 投标有效期</w:t>
      </w:r>
      <w:bookmarkEnd w:id="68"/>
      <w:bookmarkEnd w:id="69"/>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1</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.1投标文件自</w:t>
      </w:r>
      <w:r>
        <w:rPr>
          <w:rFonts w:hint="eastAsia" w:ascii="宋体" w:hAnsi="宋体" w:eastAsia="宋体" w:cs="宋体"/>
          <w:bCs/>
          <w:color w:val="auto"/>
          <w:sz w:val="24"/>
          <w:highlight w:val="none"/>
        </w:rPr>
        <w:t>投标人须知前附表</w:t>
      </w:r>
      <w:r>
        <w:rPr>
          <w:rFonts w:hint="eastAsia" w:ascii="宋体" w:hAnsi="宋体" w:eastAsia="宋体" w:cs="宋体"/>
          <w:color w:val="auto"/>
          <w:sz w:val="24"/>
          <w:highlight w:val="none"/>
        </w:rPr>
        <w:t>第4项规定的投标截止日之后开始生效，在</w:t>
      </w:r>
      <w:r>
        <w:rPr>
          <w:rFonts w:hint="eastAsia" w:ascii="宋体" w:hAnsi="宋体" w:eastAsia="宋体" w:cs="宋体"/>
          <w:bCs/>
          <w:color w:val="auto"/>
          <w:sz w:val="24"/>
          <w:highlight w:val="none"/>
        </w:rPr>
        <w:t>投标人须知前附表</w:t>
      </w:r>
      <w:r>
        <w:rPr>
          <w:rFonts w:hint="eastAsia" w:ascii="宋体" w:hAnsi="宋体" w:eastAsia="宋体" w:cs="宋体"/>
          <w:color w:val="auto"/>
          <w:sz w:val="24"/>
          <w:highlight w:val="none"/>
        </w:rPr>
        <w:t>第3项规定的期限内保持有效。有效期不足将导致其投标文件被废标。</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1</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2特殊情况下招标代理机构可于投标有效期满之前书面要求投标人同意延长有效期，投标人应在招标代理机构要求的期限内以书面形式予以答复。投标人可以拒绝上述要求而其投标保证金可按规定予以退还。投标人答复不明确或者逾期未答复的，均视为拒绝上述要求。对于接受该要求的投标人，既不能要求也不允许修改其投标文件，但将被要求其相应延长投标保证金有效期，有关退还和不予退还投标保证金的规定在投标有效期延长期内继续有效。</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70" w:name="_Toc402169071"/>
      <w:bookmarkStart w:id="71" w:name="_Toc492718057"/>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 投标保证金</w:t>
      </w:r>
      <w:bookmarkEnd w:id="70"/>
      <w:bookmarkEnd w:id="71"/>
    </w:p>
    <w:p>
      <w:pPr>
        <w:keepNext w:val="0"/>
        <w:keepLines w:val="0"/>
        <w:pageBreakBefore w:val="0"/>
        <w:kinsoku/>
        <w:overflowPunct/>
        <w:autoSpaceDE/>
        <w:autoSpaceDN/>
        <w:bidi w:val="0"/>
        <w:spacing w:line="360" w:lineRule="auto"/>
        <w:ind w:firstLine="48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.1 投标保证金为投标文件的组成部分之一。</w:t>
      </w:r>
    </w:p>
    <w:p>
      <w:pPr>
        <w:keepNext w:val="0"/>
        <w:keepLines w:val="0"/>
        <w:pageBreakBefore w:val="0"/>
        <w:kinsoku/>
        <w:overflowPunct/>
        <w:autoSpaceDE/>
        <w:autoSpaceDN/>
        <w:bidi w:val="0"/>
        <w:spacing w:line="360" w:lineRule="auto"/>
        <w:ind w:firstLine="48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.2 投标人应在提交投标文件之前向招标代理机构缴交投标人须知前附表第</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项要求的投标保证金。</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1</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.3 投标保证金用于保护本次招标活动免受投标人的行为而引起的风险。</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4招标代理机构自中标通知书发出之日起5个工作日内退还未中标人的投标保证金，并将落标书面通知没有中标的其它投标人，投标人因自身原因耽搁领取《落标通知书》，造成投标保证金的退还时间超过5个工作日的，招标代理机构不承担延后退还的责任。</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.5招标代理机构自采购合同签订之日起5个工作日内退还中标人的投标保证金。投标人因自身原因耽搁采购合同的送达存档，造成投标保证金的退还时间超过5个工作日的，招标代理机构不承担延后退还的责任。</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.6发生以下情况之一的，投标保证金将不予退还：</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 投标人在投标截止期后，投标有效期内撤回投标；</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 中标人未能做到按本须知第2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条规定签订合同；</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 以他人名义投标或者以其他方式弄虚作假，骗取中标；</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 本招标文件中规定的其他没收投标保证金的情形。</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上述不予退还投标保证金的情况如给</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造成损失的，超过投标保证金数额，还应当对超过部分予以赔偿。</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72" w:name="_Toc458015620"/>
      <w:bookmarkStart w:id="73" w:name="_Toc492718058"/>
      <w:r>
        <w:rPr>
          <w:rFonts w:hint="eastAsia" w:ascii="宋体" w:hAnsi="宋体" w:eastAsia="宋体" w:cs="宋体"/>
          <w:color w:val="auto"/>
          <w:sz w:val="24"/>
          <w:highlight w:val="none"/>
          <w:lang w:val="en-US" w:eastAsia="zh-CN"/>
        </w:rPr>
        <w:t>14</w:t>
      </w:r>
      <w:r>
        <w:rPr>
          <w:rFonts w:hint="eastAsia" w:ascii="宋体" w:hAnsi="宋体" w:eastAsia="宋体" w:cs="宋体"/>
          <w:color w:val="auto"/>
          <w:sz w:val="24"/>
          <w:highlight w:val="none"/>
        </w:rPr>
        <w:t>. 投标文件的格式</w:t>
      </w:r>
      <w:bookmarkEnd w:id="72"/>
      <w:bookmarkEnd w:id="73"/>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.1在投标人须知前附表第1</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项号所规定的要求。</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.2投标文件应由投标人的法定代表人或者其授权的代表签字并加盖公章，如由后者签字，应提供“法定代表人授权委托书”。</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1</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.3 除非有另外的规定或许可，投标货币为人民币。</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.4投标人应提交证明其提供材料符合招标文件要求的技术响应文件，该文件可以是文字资料、图纸和数据，并须提供货物主要技术性能的详细描述。</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.5 投标文件的正本和全部副本均应使用不能擦去的墨料或墨水打印、书写或复印，并由法定代表人或其授权的代表签署，盖投标人公章。</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.6 全套投标文件应无涂改和行间插字，除非这些改动是根据招标代理机构的指示进行的，或者是为改正投标人造成的必须修改的错误而进行的。有改动时，修改处应由授权的代表签署证明或加盖校正章。</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.7 未按本须知规定的格式填写投标文件、投标文件字迹模糊不清的，其投标无效。</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b/>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.8 投标文件中所有的资格条件证明文件均须在有效期内，复印件须注明“与原件一致”，并加盖投标人公章。否则投标文件在符合性检查中将被视为无效投标。</w:t>
      </w:r>
    </w:p>
    <w:p>
      <w:pPr>
        <w:keepNext w:val="0"/>
        <w:keepLines w:val="0"/>
        <w:pageBreakBefore w:val="0"/>
        <w:kinsoku/>
        <w:overflowPunct/>
        <w:autoSpaceDE/>
        <w:autoSpaceDN/>
        <w:bidi w:val="0"/>
        <w:spacing w:line="360" w:lineRule="auto"/>
        <w:jc w:val="center"/>
        <w:textAlignment w:val="auto"/>
        <w:outlineLvl w:val="1"/>
        <w:rPr>
          <w:rFonts w:hint="eastAsia" w:ascii="宋体" w:hAnsi="宋体" w:eastAsia="宋体" w:cs="宋体"/>
          <w:b/>
          <w:color w:val="auto"/>
          <w:sz w:val="24"/>
          <w:highlight w:val="none"/>
        </w:rPr>
      </w:pPr>
      <w:bookmarkStart w:id="74" w:name="_Toc458015621"/>
      <w:bookmarkStart w:id="75" w:name="_Toc492718059"/>
      <w:bookmarkStart w:id="76" w:name="_Toc31046"/>
      <w:r>
        <w:rPr>
          <w:rFonts w:hint="eastAsia" w:ascii="宋体" w:hAnsi="宋体" w:eastAsia="宋体" w:cs="宋体"/>
          <w:b/>
          <w:color w:val="auto"/>
          <w:sz w:val="24"/>
          <w:highlight w:val="none"/>
        </w:rPr>
        <w:t>四、投标文件的提交</w:t>
      </w:r>
      <w:bookmarkEnd w:id="74"/>
      <w:bookmarkEnd w:id="75"/>
      <w:bookmarkEnd w:id="76"/>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77" w:name="_Toc492718060"/>
      <w:bookmarkStart w:id="78" w:name="_Toc458015622"/>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.投标文件的密封、标记和递交</w:t>
      </w:r>
      <w:bookmarkEnd w:id="77"/>
      <w:bookmarkEnd w:id="78"/>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.1投标人应将资格及资信证明部分正本、资格及资信证明部分副本、报价部分正本、报价部分副本、技术商务部分正本、技术商务部分副本（资格及资信证明部分</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技术商务部分中不得出现与报价有关的内容）、电子文件分开装袋密封，并标明招标编号、投标人名称、项目名称及“正本”或“副本”字样。投标文件未密封将导致投标被拒绝。</w:t>
      </w:r>
    </w:p>
    <w:p>
      <w:pPr>
        <w:keepNext w:val="0"/>
        <w:keepLines w:val="0"/>
        <w:pageBreakBefore w:val="0"/>
        <w:kinsoku/>
        <w:overflowPunct/>
        <w:autoSpaceDE/>
        <w:autoSpaceDN/>
        <w:bidi w:val="0"/>
        <w:spacing w:line="360" w:lineRule="auto"/>
        <w:ind w:firstLine="470" w:firstLineChars="196"/>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.2 每一信封密封处应注明“于</w:t>
      </w:r>
      <w:r>
        <w:rPr>
          <w:rFonts w:hint="eastAsia" w:ascii="宋体" w:hAnsi="宋体" w:cs="宋体"/>
          <w:color w:val="auto"/>
          <w:sz w:val="24"/>
          <w:highlight w:val="none"/>
          <w:lang w:val="en-US" w:eastAsia="zh-CN"/>
        </w:rPr>
        <w:t>2020</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05</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06</w:t>
      </w:r>
      <w:r>
        <w:rPr>
          <w:rFonts w:hint="eastAsia" w:ascii="宋体" w:hAnsi="宋体" w:eastAsia="宋体" w:cs="宋体"/>
          <w:color w:val="auto"/>
          <w:sz w:val="24"/>
          <w:highlight w:val="none"/>
        </w:rPr>
        <w:t>日</w:t>
      </w:r>
      <w:r>
        <w:rPr>
          <w:rFonts w:hint="eastAsia" w:ascii="宋体" w:hAnsi="宋体" w:cs="宋体"/>
          <w:color w:val="auto"/>
          <w:sz w:val="24"/>
          <w:highlight w:val="none"/>
          <w:lang w:val="en-US" w:eastAsia="zh-CN"/>
        </w:rPr>
        <w:t>15：00</w:t>
      </w:r>
      <w:r>
        <w:rPr>
          <w:rFonts w:hint="eastAsia" w:ascii="宋体" w:hAnsi="宋体" w:eastAsia="宋体" w:cs="宋体"/>
          <w:color w:val="auto"/>
          <w:sz w:val="24"/>
          <w:highlight w:val="none"/>
        </w:rPr>
        <w:t>之前(指投标邀请中规定的开标日期及时间)不准启封”的字样，并加盖投标人公章。</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.3如果未按上述规定进行密封和标记，投标人自行承担由此造成的对投标文件的误投或提前拆封的责任。</w:t>
      </w:r>
    </w:p>
    <w:p>
      <w:pPr>
        <w:keepNext w:val="0"/>
        <w:keepLines w:val="0"/>
        <w:pageBreakBefore w:val="0"/>
        <w:kinsoku/>
        <w:overflowPunct/>
        <w:autoSpaceDE/>
        <w:autoSpaceDN/>
        <w:bidi w:val="0"/>
        <w:spacing w:line="360" w:lineRule="auto"/>
        <w:ind w:firstLine="48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.4 投标文件应在招标公告中规定的截止时间前送达，截止时间之后送达的投标文件为无效投标文件，将被拒收。</w:t>
      </w:r>
    </w:p>
    <w:p>
      <w:pPr>
        <w:keepNext w:val="0"/>
        <w:keepLines w:val="0"/>
        <w:pageBreakBefore w:val="0"/>
        <w:tabs>
          <w:tab w:val="left" w:pos="540"/>
        </w:tabs>
        <w:kinsoku/>
        <w:overflowPunct/>
        <w:autoSpaceDE/>
        <w:autoSpaceDN/>
        <w:bidi w:val="0"/>
        <w:snapToGrid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.5投标人在投标截止时间前，可以对所提交的投标文件进行修改或者撤回，并书面通知招标代理机构。修改的内容和撤回通知应当按本须知要求签署、盖章、密封，并作为投标文件的组成部分。</w:t>
      </w:r>
    </w:p>
    <w:p>
      <w:pPr>
        <w:keepNext w:val="0"/>
        <w:keepLines w:val="0"/>
        <w:pageBreakBefore w:val="0"/>
        <w:tabs>
          <w:tab w:val="left" w:pos="540"/>
        </w:tabs>
        <w:kinsoku/>
        <w:overflowPunct/>
        <w:autoSpaceDE/>
        <w:autoSpaceDN/>
        <w:bidi w:val="0"/>
        <w:snapToGrid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.6投标人在投标截止后不得修改、撤回投标文件。投标人在投标截止期后修改投标文件的，其投标无效，投标保证金不予退还，给</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造成的损失超过投标保证金数额的，还应当对超过部分予以赔偿。</w:t>
      </w:r>
    </w:p>
    <w:p>
      <w:pPr>
        <w:keepNext w:val="0"/>
        <w:keepLines w:val="0"/>
        <w:pageBreakBefore w:val="0"/>
        <w:kinsoku/>
        <w:overflowPunct/>
        <w:autoSpaceDE/>
        <w:autoSpaceDN/>
        <w:bidi w:val="0"/>
        <w:spacing w:line="360" w:lineRule="auto"/>
        <w:jc w:val="center"/>
        <w:textAlignment w:val="auto"/>
        <w:outlineLvl w:val="1"/>
        <w:rPr>
          <w:rFonts w:hint="eastAsia" w:ascii="宋体" w:hAnsi="宋体" w:eastAsia="宋体" w:cs="宋体"/>
          <w:b/>
          <w:color w:val="auto"/>
          <w:sz w:val="24"/>
          <w:highlight w:val="none"/>
        </w:rPr>
      </w:pPr>
      <w:bookmarkStart w:id="79" w:name="_Toc492718061"/>
      <w:bookmarkStart w:id="80" w:name="_Toc26562"/>
      <w:bookmarkStart w:id="81" w:name="_Toc458015623"/>
      <w:r>
        <w:rPr>
          <w:rFonts w:hint="eastAsia" w:ascii="宋体" w:hAnsi="宋体" w:eastAsia="宋体" w:cs="宋体"/>
          <w:b/>
          <w:color w:val="auto"/>
          <w:sz w:val="24"/>
          <w:highlight w:val="none"/>
        </w:rPr>
        <w:t>五、投标文件的评估和比较</w:t>
      </w:r>
      <w:bookmarkEnd w:id="79"/>
      <w:bookmarkEnd w:id="80"/>
      <w:bookmarkEnd w:id="81"/>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82" w:name="_Toc492718062"/>
      <w:bookmarkStart w:id="83" w:name="_Toc458015624"/>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 开标、评标时间</w:t>
      </w:r>
      <w:bookmarkEnd w:id="82"/>
      <w:bookmarkEnd w:id="83"/>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.1 在投标人须知前附表中第4项号规定的时间、地点开标。</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.2开标由招标代理机构主持，</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、投标人代表参加。所有投标人应派授权代表参加开标会，并签到。投标人未参加开标的，视同认可开标结果。</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.3开标时，由投标人或者其推选的代表检查投标文件的密封情况；经确认无误后，由工作人员当众拆封，宣读投标人名称、投标价格。</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.4开标过程由招标代理机构负责记录，由参加开标的各投标人代表、现场监督人员和相关工作人员签字确认。投标人对开标有异议的，应当在开标现场提出，招标采购单位将当场作出答复，并制作记录。</w:t>
      </w:r>
    </w:p>
    <w:p>
      <w:pPr>
        <w:keepNext w:val="0"/>
        <w:keepLines w:val="0"/>
        <w:pageBreakBefore w:val="0"/>
        <w:tabs>
          <w:tab w:val="left" w:pos="3330"/>
        </w:tabs>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84" w:name="_Toc492718063"/>
      <w:bookmarkStart w:id="85" w:name="_Toc458015625"/>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．评标委员会</w:t>
      </w:r>
      <w:bookmarkEnd w:id="84"/>
      <w:bookmarkEnd w:id="85"/>
    </w:p>
    <w:p>
      <w:pPr>
        <w:keepNext w:val="0"/>
        <w:keepLines w:val="0"/>
        <w:pageBreakBefore w:val="0"/>
        <w:kinsoku/>
        <w:overflowPunct/>
        <w:autoSpaceDE/>
        <w:autoSpaceDN/>
        <w:bidi w:val="0"/>
        <w:spacing w:line="360" w:lineRule="auto"/>
        <w:ind w:firstLine="240" w:firstLineChars="1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1</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.1招标代理机构根据招标</w:t>
      </w:r>
      <w:r>
        <w:rPr>
          <w:rFonts w:hint="eastAsia" w:ascii="宋体" w:hAnsi="宋体" w:eastAsia="宋体" w:cs="宋体"/>
          <w:color w:val="auto"/>
          <w:sz w:val="24"/>
          <w:highlight w:val="none"/>
          <w:lang w:eastAsia="zh-CN"/>
        </w:rPr>
        <w:t>项目</w:t>
      </w:r>
      <w:r>
        <w:rPr>
          <w:rFonts w:hint="eastAsia" w:ascii="宋体" w:hAnsi="宋体" w:eastAsia="宋体" w:cs="宋体"/>
          <w:color w:val="auto"/>
          <w:sz w:val="24"/>
          <w:highlight w:val="none"/>
        </w:rPr>
        <w:t>的特点依法组建评标委员会。评标委员会由技术、经济、法律方面的专家和</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代表组成。成员为5人以上单数组成，专家不能少于三分之二。由评标委员会对投标文件进行审查、质疑、评估和比较，并做出授予合同的建议。</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.2 评标委员会成员有下列情形之一的，应当回避：</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bookmarkStart w:id="86" w:name="_Toc233627390"/>
      <w:r>
        <w:rPr>
          <w:rFonts w:hint="eastAsia" w:ascii="宋体" w:hAnsi="宋体" w:eastAsia="宋体" w:cs="宋体"/>
          <w:color w:val="auto"/>
          <w:sz w:val="24"/>
          <w:highlight w:val="none"/>
        </w:rPr>
        <w:t>(1) 现在或者在采购活动发生前三年内，与</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存在雇佣关系；</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 现在或者在采购活动发生前三年内担任</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的财务顾问、法律顾问或技术顾问；</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 现在或者在采购活动发生前三年内是</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的控股股东或者实际控制人；</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 与</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的法定代表人或者负责人是直系血亲、三代以内旁系血亲及姻亲关系；</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(5) 与</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之间存在其他影响或可能影响采购活动依法进行的利害关系。</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.3 评标原则</w:t>
      </w:r>
      <w:bookmarkEnd w:id="86"/>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评标活动按照客观、公正、审慎的原则。</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87" w:name="_Toc492718064"/>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 投标文件的初审</w:t>
      </w:r>
      <w:bookmarkEnd w:id="87"/>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对所有投标人的评估，都采用相同的程序和标准。评议过程将严格按照招标文件的要求和条件进行。</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有关投标文件的审查、澄清、评估和比较以及推荐中标候选</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的一切情况都不得透露给任一投标人或与上述评标工作无关的人员。</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投标人任何试图影响评标委员会对投标文件的评估、比较或者推荐候选人的行为，都将导致其投标被拒绝，并被没收投标保证金。</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 xml:space="preserve">.1评标委员会将对投标文件进行检查，以确定投标文件是否完整、有无计算上的错误、是否提交了投标保证金、文件是否已正确签署。 </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.2 算术错误将按以下方法更正：</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(1)投标文件中开标一览表内容与投标文件中明细表内容不一致的，以开标一览表为准。</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如果投标人不接受按上述方法对投标文件中的算术错误进行更正，其投标将被拒绝并没收其投标保证金。</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 xml:space="preserve">.3资格性检查和符合性检查 </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.3.1资格性检查。资格审查小组由3人组成，并负责具体审查事务，其中：由采购人派出的采购人代表至少</w:t>
      </w:r>
      <w:r>
        <w:rPr>
          <w:rFonts w:hint="eastAsia" w:ascii="宋体" w:hAnsi="宋体" w:eastAsia="宋体" w:cs="宋体"/>
          <w:color w:val="auto"/>
          <w:sz w:val="24"/>
          <w:highlight w:val="none"/>
          <w:u w:val="single"/>
        </w:rPr>
        <w:t>1</w:t>
      </w:r>
      <w:r>
        <w:rPr>
          <w:rFonts w:hint="eastAsia" w:ascii="宋体" w:hAnsi="宋体" w:eastAsia="宋体" w:cs="宋体"/>
          <w:color w:val="auto"/>
          <w:sz w:val="24"/>
          <w:highlight w:val="none"/>
        </w:rPr>
        <w:t>人，由福建省天海招标有限公司派出的工作人员至少1人，其余1人可为采购人代表或福建省天海招标有限公司的工作人员。依据法律法规和招标文件的规定，在对投标文件详细评估之前，资格审查小组将依据投标人提交的投标文件按投标人须知前附表第2项所述的资格标准对投标人进行资格审查, 以确定其是否具备投标资格。如果投标人不具备投标资格，不满足招标文件所规定的资格标准或提供资格证明文件不全的, 其投标将被拒绝。</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3.2符合性检查。依据招标文件的规定，还将从投标文件的有效性、完整性和对招标文件的响应程度进行审查，以确定是否符合对招标文件的实质性要求做出响应。实质性偏离是指：(1)实质性影响合同的范围、质量和履行；(2)实质性违背招标文件，限制了</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的权利和中标人合同项下的义务；(3)不公正地影响了其它做出实质性响应的投标人的竞争地位。对没有实质性响应的投标文件将不进行评估，其投标将被拒绝。凡有下列情况之一者，投标文件也将被视为未实质性响应招标文件要求，按照无效投标处理：</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 投标有效期或投标保证金有效期不满足招标文件要求的；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 投标文件组成不符合招标文件要求的；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 未按规定提交封面盖公章，并加盖骑缝章或每页盖公章(非报价专用章或业务章)的；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 未按规定提交胶装(为永久性、无破坏不可拆分)装订成册的；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(5) 未按规定提交由投标人加盖公章并注明复印件与原件一致的</w:t>
      </w:r>
      <w:r>
        <w:rPr>
          <w:rFonts w:hint="eastAsia" w:ascii="宋体" w:hAnsi="宋体" w:eastAsia="宋体" w:cs="宋体"/>
          <w:color w:val="auto"/>
          <w:sz w:val="24"/>
          <w:highlight w:val="none"/>
          <w:lang w:eastAsia="zh-CN"/>
        </w:rPr>
        <w:t>证明材料</w:t>
      </w:r>
      <w:r>
        <w:rPr>
          <w:rFonts w:hint="eastAsia" w:ascii="宋体" w:hAnsi="宋体" w:eastAsia="宋体" w:cs="宋体"/>
          <w:color w:val="auto"/>
          <w:sz w:val="24"/>
          <w:highlight w:val="none"/>
        </w:rPr>
        <w:t>复印件；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 内容不全或关键字迹模糊、无法辨认的；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 投标人名称或组织结构与资格性审查时不一致且未提供有效证明的；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 采取分包、转包方式履行合同的；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 投标文件附有</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不能接受的条件；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 不符合招标文件中规定的实质性条款、无效投标条款的。</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对投标文件资格性审查、符合性审查及判定投标的响应性只根据投标文件本身的内容，而不寻求其他的外部证据。</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使用通过受让或者租借等方式获取的资格、资质证书投标的，属于招标投标法第三十三条规定的以他人名义投标。投标人有下列情形之一的，属于招标投标法第三十三条规定的以其他方式弄虚作假的行为：</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(1)使用伪造、变造的许可证件；</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(2)提供虚假的财务状况或者业绩；</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(3)提供虚假的项目负责人或者主要技术人员简历、劳动关系证明；</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(4)提供虚假的信用状况；</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(5)其他弄虚作假的行为。</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88" w:name="_Toc492718065"/>
      <w:bookmarkStart w:id="89" w:name="_Toc458015627"/>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 投标文件的澄清</w:t>
      </w:r>
      <w:bookmarkEnd w:id="88"/>
      <w:bookmarkEnd w:id="89"/>
      <w:r>
        <w:rPr>
          <w:rFonts w:hint="eastAsia" w:ascii="宋体" w:hAnsi="宋体" w:eastAsia="宋体" w:cs="宋体"/>
          <w:color w:val="auto"/>
          <w:sz w:val="24"/>
          <w:highlight w:val="none"/>
        </w:rPr>
        <w:t xml:space="preserve"> </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1投标文件中有含义不明确的内容、明显文字或者计算错误，评标委员会认为需要投标人作出必要澄清、说明的，应当书面通知该投标人。投标人的澄清、说明应当采用书面形式，并不得超出投标文件的范围或者改变投标文件的实质性内容。</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.2评标委员会不得暗示或者诱导投标人作出澄清、说明，不得接受投标人主动提出的澄清、说明。</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90" w:name="_Toc458015628"/>
      <w:bookmarkStart w:id="91" w:name="_Toc492718066"/>
      <w:r>
        <w:rPr>
          <w:rFonts w:hint="eastAsia" w:ascii="宋体" w:hAnsi="宋体" w:eastAsia="宋体" w:cs="宋体"/>
          <w:color w:val="auto"/>
          <w:sz w:val="24"/>
          <w:highlight w:val="none"/>
          <w:lang w:val="en-US" w:eastAsia="zh-CN"/>
        </w:rPr>
        <w:t>20</w:t>
      </w:r>
      <w:r>
        <w:rPr>
          <w:rFonts w:hint="eastAsia" w:ascii="宋体" w:hAnsi="宋体" w:eastAsia="宋体" w:cs="宋体"/>
          <w:color w:val="auto"/>
          <w:sz w:val="24"/>
          <w:highlight w:val="none"/>
        </w:rPr>
        <w:t>. 比较与评价</w:t>
      </w:r>
      <w:bookmarkEnd w:id="90"/>
      <w:bookmarkEnd w:id="91"/>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20</w:t>
      </w:r>
      <w:r>
        <w:rPr>
          <w:rFonts w:hint="eastAsia" w:ascii="宋体" w:hAnsi="宋体" w:eastAsia="宋体" w:cs="宋体"/>
          <w:color w:val="auto"/>
          <w:sz w:val="24"/>
          <w:highlight w:val="none"/>
        </w:rPr>
        <w:t>.1评标委员会将按投标人须知前附表第</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项号所述评标方法与标准，对资格性检查和符合性检查合格的投标文件进行商务和技术评估，综合比较与评价。</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20</w:t>
      </w:r>
      <w:r>
        <w:rPr>
          <w:rFonts w:hint="eastAsia" w:ascii="宋体" w:hAnsi="宋体" w:eastAsia="宋体" w:cs="宋体"/>
          <w:color w:val="auto"/>
          <w:sz w:val="24"/>
          <w:highlight w:val="none"/>
        </w:rPr>
        <w:t>.2 对漏(缺)报项的处理：招标文件中要求列入投标的费用(含配置、功能)，漏(缺)报的视同已含在投标总价中。但在评标时取有效投标人该项最高投标加入评标价进行评标。对多报项及赠送项的价格评标时不予核减，全部进入评标价评议。</w:t>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20</w:t>
      </w:r>
      <w:r>
        <w:rPr>
          <w:rFonts w:hint="eastAsia" w:ascii="宋体" w:hAnsi="宋体" w:eastAsia="宋体" w:cs="宋体"/>
          <w:color w:val="auto"/>
          <w:sz w:val="24"/>
          <w:highlight w:val="none"/>
        </w:rPr>
        <w:t>.3 若投标人的报价明显低于其他报价，使得其投标报价可能低于其个别成本的，有可能影响商品质量或不能诚信履约的，投标人应按评标委员会要求做出书面说明并提供相关证明材料，不能合理说明或不能提供相关证明材料的，可作无效投标处理。</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20</w:t>
      </w:r>
      <w:r>
        <w:rPr>
          <w:rFonts w:hint="eastAsia" w:ascii="宋体" w:hAnsi="宋体" w:eastAsia="宋体" w:cs="宋体"/>
          <w:color w:val="auto"/>
          <w:sz w:val="24"/>
          <w:highlight w:val="none"/>
        </w:rPr>
        <w:t>.4评标委员会将按比较与评价最优在先原则，排列评价顺序，根据在投标人须知前附表中第</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项号规定推荐中标候选人。</w:t>
      </w:r>
    </w:p>
    <w:p>
      <w:pPr>
        <w:keepNext w:val="0"/>
        <w:keepLines w:val="0"/>
        <w:pageBreakBefore w:val="0"/>
        <w:kinsoku/>
        <w:overflowPunct/>
        <w:autoSpaceDE/>
        <w:autoSpaceDN/>
        <w:bidi w:val="0"/>
        <w:spacing w:line="360" w:lineRule="auto"/>
        <w:jc w:val="center"/>
        <w:textAlignment w:val="auto"/>
        <w:outlineLvl w:val="1"/>
        <w:rPr>
          <w:rFonts w:hint="eastAsia" w:ascii="宋体" w:hAnsi="宋体" w:eastAsia="宋体" w:cs="宋体"/>
          <w:b/>
          <w:color w:val="auto"/>
          <w:sz w:val="24"/>
          <w:highlight w:val="none"/>
        </w:rPr>
      </w:pPr>
      <w:bookmarkStart w:id="92" w:name="_Toc11537"/>
      <w:bookmarkStart w:id="93" w:name="_Toc458015629"/>
      <w:bookmarkStart w:id="94" w:name="_Toc454798226"/>
      <w:bookmarkStart w:id="95" w:name="_Toc492718067"/>
      <w:r>
        <w:rPr>
          <w:rFonts w:hint="eastAsia" w:ascii="宋体" w:hAnsi="宋体" w:eastAsia="宋体" w:cs="宋体"/>
          <w:b/>
          <w:color w:val="auto"/>
          <w:sz w:val="24"/>
          <w:highlight w:val="none"/>
        </w:rPr>
        <w:t>六、定标与签订合同</w:t>
      </w:r>
      <w:bookmarkEnd w:id="92"/>
      <w:bookmarkEnd w:id="93"/>
      <w:bookmarkEnd w:id="94"/>
      <w:bookmarkEnd w:id="95"/>
    </w:p>
    <w:p>
      <w:pPr>
        <w:keepNext w:val="0"/>
        <w:keepLines w:val="0"/>
        <w:pageBreakBefore w:val="0"/>
        <w:tabs>
          <w:tab w:val="left" w:pos="3402"/>
        </w:tabs>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96" w:name="_Toc458015630"/>
      <w:bookmarkStart w:id="97" w:name="_Toc492718068"/>
      <w:bookmarkStart w:id="98" w:name="_Toc454798227"/>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 定标准则</w:t>
      </w:r>
      <w:bookmarkEnd w:id="96"/>
      <w:bookmarkEnd w:id="97"/>
      <w:bookmarkEnd w:id="98"/>
    </w:p>
    <w:p>
      <w:pPr>
        <w:keepNext w:val="0"/>
        <w:keepLines w:val="0"/>
        <w:pageBreakBefore w:val="0"/>
        <w:tabs>
          <w:tab w:val="left" w:pos="3402"/>
        </w:tabs>
        <w:kinsoku/>
        <w:overflowPunct/>
        <w:autoSpaceDE/>
        <w:autoSpaceDN/>
        <w:bidi w:val="0"/>
        <w:spacing w:line="360" w:lineRule="auto"/>
        <w:ind w:firstLine="48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.1 最低投标价不作为中标的保证。</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2投标人的投标文件符合招标文件要求，按招标文件确定评标方法、评标标准，经评委评审并推荐中标候选人。评标委员会成员应当按照招标文件规定的评标标准和方法，客观、公正地对投标文件提出评审意见。招标文件没有规定的评标标准和方法不得作为评标的依据。</w:t>
      </w:r>
    </w:p>
    <w:p>
      <w:pPr>
        <w:keepNext w:val="0"/>
        <w:keepLines w:val="0"/>
        <w:pageBreakBefore w:val="0"/>
        <w:tabs>
          <w:tab w:val="left" w:pos="3402"/>
        </w:tabs>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99" w:name="_Toc492718069"/>
      <w:bookmarkStart w:id="100" w:name="_Toc454798228"/>
      <w:bookmarkStart w:id="101" w:name="_Toc458015631"/>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 中标通知</w:t>
      </w:r>
      <w:bookmarkEnd w:id="99"/>
      <w:bookmarkEnd w:id="100"/>
      <w:bookmarkEnd w:id="101"/>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.1评标结束后，评标结果经</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确认后，招标代理机构将在刊登本招标项目招标公告的媒介上对中标结果进行公示，公示期满后招标代理机构向中标人发出中标通知书。中标通知书对</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和中标人具有同等法律效力。中标通知书发出后，</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改变中标结果，或者中标人放弃中标，应按相关法律、规章、规范性文件的要求承担相应的法律责任。</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.2《中标通知书》发出同时招标代理机构将落标书面通知没有中标的其它投标人。</w:t>
      </w:r>
    </w:p>
    <w:p>
      <w:pPr>
        <w:keepNext w:val="0"/>
        <w:keepLines w:val="0"/>
        <w:pageBreakBefore w:val="0"/>
        <w:tabs>
          <w:tab w:val="left" w:pos="3402"/>
        </w:tabs>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.3《中标通知书》将作为签订合同的依据。《合同》签订后，《中标通知书》成为《合同》的一部分。</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.4招标代理机构</w:t>
      </w:r>
      <w:r>
        <w:rPr>
          <w:rFonts w:hint="eastAsia" w:ascii="宋体" w:hAnsi="宋体" w:eastAsia="宋体" w:cs="宋体"/>
          <w:color w:val="auto"/>
          <w:kern w:val="0"/>
          <w:sz w:val="24"/>
          <w:highlight w:val="none"/>
        </w:rPr>
        <w:t>自《中标通知书》发出之日起</w:t>
      </w:r>
      <w:r>
        <w:rPr>
          <w:rFonts w:hint="eastAsia" w:ascii="宋体" w:hAnsi="宋体" w:eastAsia="宋体" w:cs="宋体"/>
          <w:color w:val="auto"/>
          <w:kern w:val="0"/>
          <w:sz w:val="24"/>
          <w:highlight w:val="none"/>
          <w:lang w:val="en-US" w:eastAsia="zh-CN"/>
        </w:rPr>
        <w:t>5</w:t>
      </w:r>
      <w:r>
        <w:rPr>
          <w:rFonts w:hint="eastAsia" w:ascii="宋体" w:hAnsi="宋体" w:eastAsia="宋体" w:cs="宋体"/>
          <w:color w:val="auto"/>
          <w:kern w:val="0"/>
          <w:sz w:val="24"/>
          <w:highlight w:val="none"/>
        </w:rPr>
        <w:t>个工作日内退还未中标人的投标</w:t>
      </w:r>
      <w:r>
        <w:rPr>
          <w:rFonts w:hint="eastAsia" w:ascii="宋体" w:hAnsi="宋体" w:eastAsia="宋体" w:cs="宋体"/>
          <w:color w:val="auto"/>
          <w:sz w:val="24"/>
          <w:highlight w:val="none"/>
        </w:rPr>
        <w:t>保证金。未中标的</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需领取并回传《落标通知书》。</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.5自采购合同签订之日起</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个工作日内退还中标人的投标保证金。中标人需将采购合同送达存档。</w:t>
      </w:r>
    </w:p>
    <w:p>
      <w:pPr>
        <w:keepNext w:val="0"/>
        <w:keepLines w:val="0"/>
        <w:pageBreakBefore w:val="0"/>
        <w:tabs>
          <w:tab w:val="left" w:pos="3402"/>
        </w:tabs>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102" w:name="_Toc454798229"/>
      <w:bookmarkStart w:id="103" w:name="_Toc492718070"/>
      <w:bookmarkStart w:id="104" w:name="_Toc458015632"/>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 签订合同</w:t>
      </w:r>
      <w:bookmarkEnd w:id="102"/>
      <w:bookmarkEnd w:id="103"/>
      <w:bookmarkEnd w:id="104"/>
    </w:p>
    <w:p>
      <w:pPr>
        <w:keepNext w:val="0"/>
        <w:keepLines w:val="0"/>
        <w:pageBreakBefore w:val="0"/>
        <w:tabs>
          <w:tab w:val="left" w:pos="3402"/>
        </w:tabs>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.1</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中标人在《中标通知书》发出之日起30日内，根据招标文件确定的事项和中标人投标文件，参照本招标文件第四章的《合同》文本签订合同。双方所签订的合同不得对招标文件和中标人投标文件作实质性修改。逾期未签订合同，按照有关法律规定承担相应的法律责任。</w:t>
      </w:r>
    </w:p>
    <w:p>
      <w:pPr>
        <w:keepNext w:val="0"/>
        <w:keepLines w:val="0"/>
        <w:pageBreakBefore w:val="0"/>
        <w:tabs>
          <w:tab w:val="left" w:pos="3402"/>
        </w:tabs>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2招标文件、招标文件的修改文件、中标人的投标文件、补充或修改的文件及澄清或承诺文件等，均为双方签订《合同》的组成部分，并与《合同》一并作为本招标文件所列采购项目的互补性法律文件，与《合同》具有同等法律效力。</w:t>
      </w:r>
    </w:p>
    <w:p>
      <w:pPr>
        <w:keepNext w:val="0"/>
        <w:keepLines w:val="0"/>
        <w:pageBreakBefore w:val="0"/>
        <w:tabs>
          <w:tab w:val="left" w:pos="3402"/>
        </w:tabs>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.3</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在合同履行中，需追加与合同标的相同的货物或者服务的，在不改变合同其他条款的前提下，可与</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协商签订补充合同，但所有补充合同的采购金额不得超过原合同采购金额的百分之十。</w:t>
      </w:r>
    </w:p>
    <w:p>
      <w:pPr>
        <w:keepNext w:val="0"/>
        <w:keepLines w:val="0"/>
        <w:pageBreakBefore w:val="0"/>
        <w:numPr>
          <w:ilvl w:val="0"/>
          <w:numId w:val="0"/>
        </w:numPr>
        <w:tabs>
          <w:tab w:val="left" w:pos="993"/>
        </w:tabs>
        <w:kinsoku/>
        <w:overflowPunct/>
        <w:autoSpaceDE/>
        <w:autoSpaceDN/>
        <w:bidi w:val="0"/>
        <w:spacing w:line="360" w:lineRule="auto"/>
        <w:ind w:left="0" w:leftChars="0"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.4</w:t>
      </w:r>
      <w:r>
        <w:rPr>
          <w:rFonts w:hint="eastAsia" w:ascii="宋体" w:hAnsi="宋体" w:eastAsia="宋体" w:cs="宋体"/>
          <w:color w:val="auto"/>
          <w:kern w:val="0"/>
          <w:sz w:val="24"/>
          <w:highlight w:val="none"/>
        </w:rPr>
        <w:t>排名第一的中标候选人放弃中标、因不可抗力不能履行合同、不按照招标文件要求提交履约保证金，或者被查实存在影响中标结果的违法行为等情形，不符合中标条件的，</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可以按照评标委员会提出的中标候选人名单排序依次确定其他中标候选人为中标人，也可以重新招标。</w:t>
      </w:r>
    </w:p>
    <w:p>
      <w:pPr>
        <w:keepNext w:val="0"/>
        <w:keepLines w:val="0"/>
        <w:pageBreakBefore w:val="0"/>
        <w:tabs>
          <w:tab w:val="left" w:pos="3402"/>
        </w:tabs>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105" w:name="_Toc454798230"/>
      <w:bookmarkStart w:id="106" w:name="_Toc458015633"/>
      <w:bookmarkStart w:id="107" w:name="_Toc492718071"/>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 招标项目监督部门</w:t>
      </w:r>
      <w:bookmarkEnd w:id="105"/>
      <w:bookmarkEnd w:id="106"/>
      <w:bookmarkEnd w:id="107"/>
    </w:p>
    <w:p>
      <w:pPr>
        <w:keepNext w:val="0"/>
        <w:keepLines w:val="0"/>
        <w:pageBreakBefore w:val="0"/>
        <w:tabs>
          <w:tab w:val="left" w:pos="3402"/>
        </w:tabs>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.1招标项目监督部门可视情依法派员对本招标活动的全程进行监督。</w:t>
      </w:r>
    </w:p>
    <w:p>
      <w:pPr>
        <w:keepNext w:val="0"/>
        <w:keepLines w:val="0"/>
        <w:pageBreakBefore w:val="0"/>
        <w:tabs>
          <w:tab w:val="left" w:pos="3402"/>
        </w:tabs>
        <w:kinsoku/>
        <w:overflowPunct/>
        <w:autoSpaceDE/>
        <w:autoSpaceDN/>
        <w:bidi w:val="0"/>
        <w:spacing w:line="360" w:lineRule="auto"/>
        <w:ind w:firstLine="480" w:firstLineChars="200"/>
        <w:textAlignment w:val="auto"/>
        <w:outlineLvl w:val="9"/>
        <w:rPr>
          <w:rFonts w:hint="eastAsia" w:ascii="宋体" w:hAnsi="宋体" w:eastAsia="宋体" w:cs="宋体"/>
          <w:b/>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.2投标人如对招标活动有异议，可以按照有关规定向投标须知前附表第</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项所述招标项目监督部门投诉。</w:t>
      </w:r>
    </w:p>
    <w:p>
      <w:pPr>
        <w:keepNext w:val="0"/>
        <w:keepLines w:val="0"/>
        <w:pageBreakBefore w:val="0"/>
        <w:kinsoku/>
        <w:overflowPunct/>
        <w:autoSpaceDE/>
        <w:autoSpaceDN/>
        <w:bidi w:val="0"/>
        <w:spacing w:line="360" w:lineRule="auto"/>
        <w:ind w:firstLine="482" w:firstLineChars="200"/>
        <w:jc w:val="center"/>
        <w:textAlignment w:val="auto"/>
        <w:outlineLvl w:val="1"/>
        <w:rPr>
          <w:rFonts w:hint="eastAsia" w:ascii="宋体" w:hAnsi="宋体" w:eastAsia="宋体" w:cs="宋体"/>
          <w:b/>
          <w:color w:val="auto"/>
          <w:sz w:val="24"/>
          <w:highlight w:val="none"/>
        </w:rPr>
      </w:pPr>
      <w:bookmarkStart w:id="108" w:name="_Toc458015635"/>
      <w:bookmarkStart w:id="109" w:name="_Toc492718072"/>
      <w:bookmarkStart w:id="110" w:name="_Toc21710"/>
      <w:bookmarkStart w:id="111" w:name="_Toc454798231"/>
      <w:r>
        <w:rPr>
          <w:rFonts w:hint="eastAsia" w:ascii="宋体" w:hAnsi="宋体" w:eastAsia="宋体" w:cs="宋体"/>
          <w:b/>
          <w:color w:val="auto"/>
          <w:sz w:val="24"/>
          <w:highlight w:val="none"/>
        </w:rPr>
        <w:t>七、质疑与答复</w:t>
      </w:r>
      <w:bookmarkEnd w:id="108"/>
      <w:bookmarkEnd w:id="109"/>
      <w:bookmarkEnd w:id="110"/>
      <w:bookmarkEnd w:id="111"/>
    </w:p>
    <w:p>
      <w:pPr>
        <w:keepNext w:val="0"/>
        <w:keepLines w:val="0"/>
        <w:pageBreakBefore w:val="0"/>
        <w:widowControl/>
        <w:kinsoku/>
        <w:overflowPunct/>
        <w:autoSpaceDE/>
        <w:autoSpaceDN/>
        <w:bidi w:val="0"/>
        <w:spacing w:line="360" w:lineRule="auto"/>
        <w:textAlignment w:val="auto"/>
        <w:outlineLvl w:val="9"/>
        <w:rPr>
          <w:rFonts w:hint="eastAsia" w:ascii="宋体" w:hAnsi="宋体" w:eastAsia="宋体" w:cs="宋体"/>
          <w:color w:val="auto"/>
          <w:sz w:val="24"/>
          <w:highlight w:val="none"/>
        </w:rPr>
      </w:pPr>
      <w:bookmarkStart w:id="112" w:name="_Toc454798232"/>
      <w:bookmarkStart w:id="113" w:name="_Toc458015636"/>
      <w:bookmarkStart w:id="114" w:name="_Toc492718073"/>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 质疑</w:t>
      </w:r>
      <w:bookmarkEnd w:id="112"/>
      <w:bookmarkEnd w:id="113"/>
      <w:bookmarkEnd w:id="114"/>
    </w:p>
    <w:p>
      <w:pPr>
        <w:keepNext w:val="0"/>
        <w:keepLines w:val="0"/>
        <w:pageBreakBefore w:val="0"/>
        <w:widowControl/>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.1</w:t>
      </w:r>
      <w:r>
        <w:rPr>
          <w:rFonts w:hint="eastAsia" w:ascii="宋体" w:hAnsi="宋体" w:eastAsia="宋体" w:cs="宋体"/>
          <w:color w:val="auto"/>
          <w:kern w:val="0"/>
          <w:sz w:val="24"/>
          <w:highlight w:val="none"/>
        </w:rPr>
        <w:t>潜在投标人或者其他利害关系人对招标文件有异议的，应当</w:t>
      </w:r>
      <w:r>
        <w:rPr>
          <w:rFonts w:hint="eastAsia" w:ascii="宋体" w:hAnsi="宋体" w:eastAsia="宋体" w:cs="宋体"/>
          <w:color w:val="auto"/>
          <w:sz w:val="24"/>
          <w:highlight w:val="none"/>
        </w:rPr>
        <w:t>以书面原件形式</w:t>
      </w:r>
      <w:r>
        <w:rPr>
          <w:rFonts w:hint="eastAsia" w:ascii="宋体" w:hAnsi="宋体" w:eastAsia="宋体" w:cs="宋体"/>
          <w:color w:val="auto"/>
          <w:kern w:val="0"/>
          <w:sz w:val="24"/>
          <w:highlight w:val="none"/>
        </w:rPr>
        <w:t>提出。投标人或者其他利害关系人对评标结果有异议的，应当</w:t>
      </w:r>
      <w:r>
        <w:rPr>
          <w:rFonts w:hint="eastAsia" w:ascii="宋体" w:hAnsi="宋体" w:eastAsia="宋体" w:cs="宋体"/>
          <w:color w:val="auto"/>
          <w:sz w:val="24"/>
          <w:highlight w:val="none"/>
        </w:rPr>
        <w:t>以书面原件形式(拒绝受理书面原件以外的其他形式)</w:t>
      </w:r>
      <w:r>
        <w:rPr>
          <w:rFonts w:hint="eastAsia" w:ascii="宋体" w:hAnsi="宋体" w:eastAsia="宋体" w:cs="宋体"/>
          <w:color w:val="auto"/>
          <w:kern w:val="0"/>
          <w:sz w:val="24"/>
          <w:highlight w:val="none"/>
        </w:rPr>
        <w:t>在中标候选人公示期间提出。</w:t>
      </w:r>
      <w:bookmarkStart w:id="115" w:name="_Toc492718074"/>
      <w:bookmarkStart w:id="116" w:name="_Toc458015637"/>
      <w:bookmarkStart w:id="117" w:name="_Toc454798233"/>
    </w:p>
    <w:p>
      <w:pPr>
        <w:keepNext w:val="0"/>
        <w:keepLines w:val="0"/>
        <w:pageBreakBefore w:val="0"/>
        <w:widowControl/>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 答复</w:t>
      </w:r>
      <w:bookmarkEnd w:id="115"/>
      <w:bookmarkEnd w:id="116"/>
      <w:bookmarkEnd w:id="117"/>
    </w:p>
    <w:p>
      <w:pPr>
        <w:keepNext w:val="0"/>
        <w:keepLines w:val="0"/>
        <w:pageBreakBefore w:val="0"/>
        <w:widowControl/>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.1自收到异议之日起</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eastAsia="zh-CN"/>
        </w:rPr>
        <w:t>个工作日</w:t>
      </w:r>
      <w:r>
        <w:rPr>
          <w:rFonts w:hint="eastAsia" w:ascii="宋体" w:hAnsi="宋体" w:eastAsia="宋体" w:cs="宋体"/>
          <w:color w:val="auto"/>
          <w:sz w:val="24"/>
          <w:highlight w:val="none"/>
        </w:rPr>
        <w:t>内作出答复。投标人也可以向招标代理机构提出质疑，招标代理机构将依照规定就</w:t>
      </w:r>
      <w:r>
        <w:rPr>
          <w:rFonts w:hint="eastAsia" w:ascii="宋体" w:hAnsi="宋体" w:cs="宋体"/>
          <w:color w:val="auto"/>
          <w:sz w:val="24"/>
          <w:highlight w:val="none"/>
          <w:lang w:eastAsia="zh-CN"/>
        </w:rPr>
        <w:t>采购人</w:t>
      </w:r>
      <w:r>
        <w:rPr>
          <w:rFonts w:hint="eastAsia" w:ascii="宋体" w:hAnsi="宋体" w:eastAsia="宋体" w:cs="宋体"/>
          <w:color w:val="auto"/>
          <w:sz w:val="24"/>
          <w:highlight w:val="none"/>
        </w:rPr>
        <w:t>委托授权范围内的事项作出答复。</w:t>
      </w:r>
    </w:p>
    <w:p>
      <w:pPr>
        <w:keepNext w:val="0"/>
        <w:keepLines w:val="0"/>
        <w:pageBreakBefore w:val="0"/>
        <w:widowControl/>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.2投标人或者其他利害关系人认为招标投标活动不符合法律、行政法规规定的，可以自知道或者应当知道之日起</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日内向有关行政监督部门投诉。投诉应当有明确的请求和必要的证明材料。</w:t>
      </w:r>
    </w:p>
    <w:p>
      <w:pPr>
        <w:pStyle w:val="38"/>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p>
      <w:pPr>
        <w:pageBreakBefore w:val="0"/>
        <w:kinsoku/>
        <w:overflowPunct/>
        <w:bidi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p>
    <w:p>
      <w:pPr>
        <w:keepNext w:val="0"/>
        <w:keepLines w:val="0"/>
        <w:pageBreakBefore w:val="0"/>
        <w:numPr>
          <w:ilvl w:val="0"/>
          <w:numId w:val="3"/>
        </w:numPr>
        <w:kinsoku/>
        <w:overflowPunct/>
        <w:autoSpaceDE/>
        <w:autoSpaceDN/>
        <w:bidi w:val="0"/>
        <w:snapToGrid w:val="0"/>
        <w:spacing w:line="360" w:lineRule="auto"/>
        <w:jc w:val="center"/>
        <w:textAlignment w:val="auto"/>
        <w:outlineLvl w:val="0"/>
        <w:rPr>
          <w:rFonts w:hint="eastAsia" w:ascii="宋体" w:hAnsi="宋体" w:eastAsia="宋体" w:cs="宋体"/>
          <w:b/>
          <w:color w:val="auto"/>
          <w:sz w:val="36"/>
          <w:szCs w:val="36"/>
          <w:highlight w:val="none"/>
        </w:rPr>
      </w:pPr>
      <w:bookmarkStart w:id="118" w:name="_Toc14536"/>
      <w:bookmarkStart w:id="119" w:name="_Toc492718075"/>
      <w:r>
        <w:rPr>
          <w:rFonts w:hint="eastAsia" w:ascii="宋体" w:hAnsi="宋体" w:eastAsia="宋体" w:cs="宋体"/>
          <w:b/>
          <w:bCs/>
          <w:color w:val="auto"/>
          <w:sz w:val="36"/>
          <w:szCs w:val="36"/>
          <w:highlight w:val="none"/>
        </w:rPr>
        <w:t>招标内容及要求</w:t>
      </w:r>
      <w:bookmarkEnd w:id="118"/>
      <w:bookmarkEnd w:id="119"/>
    </w:p>
    <w:p>
      <w:pPr>
        <w:pStyle w:val="36"/>
        <w:keepNext w:val="0"/>
        <w:keepLines w:val="0"/>
        <w:pageBreakBefore w:val="0"/>
        <w:widowControl/>
        <w:numPr>
          <w:ilvl w:val="0"/>
          <w:numId w:val="4"/>
        </w:numPr>
        <w:suppressLineNumbers w:val="0"/>
        <w:kinsoku/>
        <w:overflowPunct/>
        <w:topLinePunct w:val="0"/>
        <w:autoSpaceDE/>
        <w:autoSpaceDN/>
        <w:bidi w:val="0"/>
        <w:adjustRightInd/>
        <w:snapToGrid/>
        <w:spacing w:before="0" w:beforeLines="0" w:beforeAutospacing="0" w:after="0" w:afterLines="0" w:afterAutospacing="0" w:line="360" w:lineRule="auto"/>
        <w:ind w:left="0" w:right="0" w:firstLine="0"/>
        <w:textAlignment w:val="auto"/>
        <w:outlineLvl w:val="1"/>
        <w:rPr>
          <w:rFonts w:hint="eastAsia" w:ascii="宋体" w:hAnsi="宋体" w:eastAsia="宋体" w:cs="宋体"/>
          <w:b/>
          <w:bCs/>
          <w:color w:val="auto"/>
          <w:spacing w:val="0"/>
          <w:sz w:val="24"/>
          <w:szCs w:val="24"/>
          <w:highlight w:val="none"/>
        </w:rPr>
      </w:pPr>
      <w:bookmarkStart w:id="120" w:name="_Toc29882"/>
      <w:bookmarkStart w:id="121" w:name="_Toc346300364"/>
      <w:bookmarkStart w:id="122" w:name="_Toc351968242"/>
      <w:bookmarkStart w:id="123" w:name="_Toc464492985"/>
      <w:bookmarkStart w:id="124" w:name="_Toc471817418"/>
      <w:bookmarkStart w:id="125" w:name="_Toc419485043"/>
      <w:bookmarkStart w:id="126" w:name="_Toc347060293"/>
      <w:bookmarkStart w:id="127" w:name="_Toc492718076"/>
      <w:bookmarkStart w:id="128" w:name="_Toc346300367"/>
      <w:bookmarkStart w:id="129" w:name="_Toc330567034"/>
      <w:bookmarkStart w:id="130" w:name="_Toc327948617"/>
      <w:bookmarkStart w:id="131" w:name="_Toc424490262"/>
      <w:bookmarkStart w:id="132" w:name="_Toc464509948"/>
      <w:bookmarkStart w:id="133" w:name="_Toc360802730"/>
      <w:bookmarkStart w:id="134" w:name="_Toc347060296"/>
      <w:r>
        <w:rPr>
          <w:rFonts w:hint="eastAsia" w:ascii="宋体" w:hAnsi="宋体" w:eastAsia="宋体" w:cs="宋体"/>
          <w:b/>
          <w:bCs/>
          <w:color w:val="auto"/>
          <w:spacing w:val="0"/>
          <w:sz w:val="24"/>
          <w:szCs w:val="24"/>
          <w:highlight w:val="none"/>
        </w:rPr>
        <w:t>项目概况</w:t>
      </w:r>
      <w:bookmarkEnd w:id="120"/>
    </w:p>
    <w:p>
      <w:pPr>
        <w:pStyle w:val="36"/>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Lines="0" w:beforeAutospacing="0" w:after="0" w:afterLines="0" w:afterAutospacing="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本次招标采购的</w:t>
      </w:r>
      <w:r>
        <w:rPr>
          <w:rFonts w:hint="eastAsia" w:ascii="宋体" w:hAnsi="宋体" w:cs="宋体"/>
          <w:sz w:val="24"/>
          <w:szCs w:val="24"/>
          <w:highlight w:val="none"/>
          <w:lang w:eastAsia="zh-CN"/>
        </w:rPr>
        <w:t>标的</w:t>
      </w:r>
      <w:r>
        <w:rPr>
          <w:rFonts w:hint="eastAsia" w:ascii="宋体" w:hAnsi="宋体" w:eastAsia="宋体" w:cs="宋体"/>
          <w:sz w:val="24"/>
          <w:szCs w:val="24"/>
          <w:highlight w:val="none"/>
        </w:rPr>
        <w:t>主要</w:t>
      </w:r>
      <w:r>
        <w:rPr>
          <w:rFonts w:hint="eastAsia" w:ascii="宋体" w:hAnsi="宋体" w:cs="宋体"/>
          <w:sz w:val="24"/>
          <w:szCs w:val="24"/>
          <w:highlight w:val="none"/>
          <w:lang w:eastAsia="zh-CN"/>
        </w:rPr>
        <w:t>为满足</w:t>
      </w:r>
      <w:r>
        <w:rPr>
          <w:rFonts w:hint="eastAsia" w:ascii="宋体" w:hAnsi="宋体" w:eastAsia="宋体" w:cs="宋体"/>
          <w:sz w:val="24"/>
          <w:szCs w:val="24"/>
          <w:highlight w:val="none"/>
        </w:rPr>
        <w:t>福建省</w:t>
      </w:r>
      <w:r>
        <w:rPr>
          <w:rFonts w:hint="eastAsia" w:ascii="宋体" w:hAnsi="宋体" w:cs="宋体"/>
          <w:sz w:val="24"/>
          <w:szCs w:val="24"/>
          <w:highlight w:val="none"/>
          <w:lang w:eastAsia="zh-CN"/>
        </w:rPr>
        <w:t>部分卫生院</w:t>
      </w:r>
      <w:r>
        <w:rPr>
          <w:rFonts w:hint="eastAsia" w:ascii="宋体" w:hAnsi="宋体" w:eastAsia="宋体" w:cs="宋体"/>
          <w:sz w:val="24"/>
          <w:szCs w:val="24"/>
          <w:highlight w:val="none"/>
        </w:rPr>
        <w:t>新冠肺炎</w:t>
      </w:r>
      <w:r>
        <w:rPr>
          <w:rFonts w:hint="eastAsia" w:ascii="宋体" w:hAnsi="宋体" w:cs="宋体"/>
          <w:sz w:val="24"/>
          <w:szCs w:val="24"/>
          <w:highlight w:val="none"/>
          <w:lang w:eastAsia="zh-CN"/>
        </w:rPr>
        <w:t>疫情</w:t>
      </w:r>
      <w:r>
        <w:rPr>
          <w:rFonts w:hint="eastAsia" w:ascii="宋体" w:hAnsi="宋体" w:eastAsia="宋体" w:cs="宋体"/>
          <w:sz w:val="24"/>
          <w:szCs w:val="24"/>
          <w:highlight w:val="none"/>
        </w:rPr>
        <w:t>防治</w:t>
      </w:r>
      <w:r>
        <w:rPr>
          <w:rFonts w:hint="eastAsia" w:ascii="宋体" w:hAnsi="宋体" w:cs="宋体"/>
          <w:sz w:val="24"/>
          <w:szCs w:val="24"/>
          <w:highlight w:val="none"/>
          <w:lang w:eastAsia="zh-CN"/>
        </w:rPr>
        <w:t>转运等需要</w:t>
      </w:r>
      <w:r>
        <w:rPr>
          <w:rFonts w:hint="eastAsia" w:ascii="宋体" w:hAnsi="宋体" w:eastAsia="宋体" w:cs="宋体"/>
          <w:sz w:val="24"/>
          <w:szCs w:val="24"/>
          <w:highlight w:val="none"/>
        </w:rPr>
        <w:t>。投标人提供的所有货物必须通过合法渠道获得，具有合法使用权和用户保护权且为全新原装货物,技术参数必须符合或优于国家及行业相关标准。</w:t>
      </w:r>
    </w:p>
    <w:p>
      <w:pPr>
        <w:pStyle w:val="36"/>
        <w:keepNext w:val="0"/>
        <w:keepLines w:val="0"/>
        <w:pageBreakBefore w:val="0"/>
        <w:widowControl/>
        <w:numPr>
          <w:ilvl w:val="0"/>
          <w:numId w:val="4"/>
        </w:numPr>
        <w:suppressLineNumbers w:val="0"/>
        <w:kinsoku/>
        <w:overflowPunct/>
        <w:topLinePunct w:val="0"/>
        <w:autoSpaceDE/>
        <w:autoSpaceDN/>
        <w:bidi w:val="0"/>
        <w:adjustRightInd/>
        <w:snapToGrid/>
        <w:spacing w:before="0" w:beforeLines="0" w:beforeAutospacing="0" w:after="0" w:afterLines="0" w:afterAutospacing="0" w:line="360" w:lineRule="auto"/>
        <w:ind w:left="0" w:leftChars="0" w:right="0" w:firstLine="0" w:firstLineChars="0"/>
        <w:textAlignment w:val="auto"/>
        <w:outlineLvl w:val="1"/>
        <w:rPr>
          <w:rFonts w:hint="eastAsia" w:ascii="宋体" w:hAnsi="宋体" w:cs="宋体"/>
          <w:b/>
          <w:bCs/>
          <w:color w:val="auto"/>
          <w:spacing w:val="0"/>
          <w:sz w:val="24"/>
          <w:szCs w:val="24"/>
          <w:highlight w:val="none"/>
          <w:lang w:eastAsia="zh-CN"/>
        </w:rPr>
      </w:pPr>
      <w:bookmarkStart w:id="135" w:name="_Toc23792"/>
      <w:r>
        <w:rPr>
          <w:rFonts w:hint="eastAsia" w:ascii="宋体" w:hAnsi="宋体" w:eastAsia="宋体" w:cs="宋体"/>
          <w:b/>
          <w:bCs/>
          <w:color w:val="auto"/>
          <w:spacing w:val="0"/>
          <w:sz w:val="24"/>
          <w:szCs w:val="24"/>
          <w:highlight w:val="none"/>
        </w:rPr>
        <w:t>技术要求</w:t>
      </w:r>
      <w:bookmarkEnd w:id="135"/>
      <w:r>
        <w:rPr>
          <w:rFonts w:hint="eastAsia" w:ascii="宋体" w:hAnsi="宋体" w:eastAsia="宋体" w:cs="宋体"/>
          <w:b/>
          <w:bCs/>
          <w:color w:val="auto"/>
          <w:sz w:val="24"/>
          <w:szCs w:val="24"/>
          <w:highlight w:val="none"/>
          <w:lang w:val="en-US" w:eastAsia="zh-CN"/>
        </w:rPr>
        <w:t>（以下内容均不可偏离，投标人应逐条进行响应，否则视为无效投标）</w:t>
      </w:r>
    </w:p>
    <w:p>
      <w:pPr>
        <w:keepNext w:val="0"/>
        <w:keepLines w:val="0"/>
        <w:pageBreakBefore w:val="0"/>
        <w:kinsoku/>
        <w:wordWrap/>
        <w:overflowPunct/>
        <w:topLinePunct w:val="0"/>
        <w:bidi w:val="0"/>
        <w:adjustRightInd/>
        <w:snapToGrid/>
        <w:spacing w:line="360" w:lineRule="auto"/>
        <w:ind w:firstLine="241" w:firstLineChars="100"/>
        <w:textAlignment w:val="auto"/>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lang w:eastAsia="zh-CN"/>
        </w:rPr>
        <w:t>（</w:t>
      </w:r>
      <w:r>
        <w:rPr>
          <w:rFonts w:hint="eastAsia" w:asciiTheme="minorEastAsia" w:hAnsiTheme="minorEastAsia" w:eastAsiaTheme="minorEastAsia" w:cstheme="minorEastAsia"/>
          <w:b/>
          <w:bCs/>
          <w:sz w:val="24"/>
          <w:szCs w:val="24"/>
          <w:highlight w:val="none"/>
        </w:rPr>
        <w:t>一</w:t>
      </w:r>
      <w:r>
        <w:rPr>
          <w:rFonts w:hint="eastAsia" w:asciiTheme="minorEastAsia" w:hAnsiTheme="minorEastAsia" w:eastAsiaTheme="minorEastAsia" w:cstheme="minorEastAsia"/>
          <w:b/>
          <w:bCs/>
          <w:sz w:val="24"/>
          <w:szCs w:val="24"/>
          <w:highlight w:val="none"/>
          <w:lang w:eastAsia="zh-CN"/>
        </w:rPr>
        <w:t>）</w:t>
      </w:r>
      <w:r>
        <w:rPr>
          <w:rFonts w:hint="eastAsia" w:asciiTheme="minorEastAsia" w:hAnsiTheme="minorEastAsia" w:eastAsiaTheme="minorEastAsia" w:cstheme="minorEastAsia"/>
          <w:b/>
          <w:bCs/>
          <w:sz w:val="24"/>
          <w:szCs w:val="24"/>
          <w:highlight w:val="none"/>
        </w:rPr>
        <w:t>、主要功能要求</w:t>
      </w:r>
    </w:p>
    <w:p>
      <w:pPr>
        <w:keepNext w:val="0"/>
        <w:keepLines w:val="0"/>
        <w:pageBreakBefore w:val="0"/>
        <w:kinsoku/>
        <w:wordWrap/>
        <w:overflowPunct/>
        <w:topLinePunct w:val="0"/>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本次采购的车辆其功能配置</w:t>
      </w:r>
      <w:r>
        <w:rPr>
          <w:rFonts w:hint="eastAsia" w:asciiTheme="minorEastAsia" w:hAnsiTheme="minorEastAsia" w:eastAsiaTheme="minorEastAsia" w:cstheme="minorEastAsia"/>
          <w:sz w:val="24"/>
          <w:szCs w:val="24"/>
          <w:highlight w:val="none"/>
          <w:lang w:eastAsia="zh-CN"/>
        </w:rPr>
        <w:t>具备基本医疗、转运救护功能，兼顾满足基层卫生院日常诊疗等服务功能。车载配置相关医疗检查设备与信息化系统，与乡镇卫生院服务能力功能定位相适应。</w:t>
      </w:r>
      <w:r>
        <w:rPr>
          <w:rFonts w:hint="eastAsia" w:asciiTheme="minorEastAsia" w:hAnsiTheme="minorEastAsia" w:eastAsiaTheme="minorEastAsia" w:cstheme="minorEastAsia"/>
          <w:sz w:val="24"/>
          <w:szCs w:val="24"/>
          <w:highlight w:val="none"/>
        </w:rPr>
        <w:t>车辆全方位满足驾乘需求，具有灵活舒适的空间配置，车辆必须适应农村山区乡镇道路行驶，便于进村入户，具有平稳、舒适、安全等优异的功能性能。</w:t>
      </w:r>
    </w:p>
    <w:p>
      <w:pPr>
        <w:keepNext w:val="0"/>
        <w:keepLines w:val="0"/>
        <w:pageBreakBefore w:val="0"/>
        <w:numPr>
          <w:ilvl w:val="0"/>
          <w:numId w:val="0"/>
        </w:numPr>
        <w:kinsoku/>
        <w:wordWrap/>
        <w:overflowPunct/>
        <w:topLinePunct w:val="0"/>
        <w:bidi w:val="0"/>
        <w:adjustRightInd/>
        <w:snapToGrid/>
        <w:spacing w:line="360" w:lineRule="auto"/>
        <w:ind w:firstLine="241" w:firstLineChars="100"/>
        <w:textAlignment w:val="auto"/>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lang w:eastAsia="zh-CN"/>
        </w:rPr>
        <w:t>（二）、</w:t>
      </w:r>
      <w:r>
        <w:rPr>
          <w:rFonts w:hint="eastAsia" w:asciiTheme="minorEastAsia" w:hAnsiTheme="minorEastAsia" w:eastAsiaTheme="minorEastAsia" w:cstheme="minorEastAsia"/>
          <w:b/>
          <w:bCs/>
          <w:sz w:val="24"/>
          <w:szCs w:val="24"/>
          <w:highlight w:val="none"/>
        </w:rPr>
        <w:t>车辆与设备配置要求</w:t>
      </w:r>
    </w:p>
    <w:p>
      <w:pPr>
        <w:keepNext w:val="0"/>
        <w:keepLines w:val="0"/>
        <w:pageBreakBefore w:val="0"/>
        <w:kinsoku/>
        <w:wordWrap/>
        <w:overflowPunct/>
        <w:topLinePunct w:val="0"/>
        <w:bidi w:val="0"/>
        <w:adjustRightInd/>
        <w:snapToGrid/>
        <w:spacing w:line="360" w:lineRule="auto"/>
        <w:ind w:firstLine="482"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
          <w:bCs/>
          <w:sz w:val="24"/>
          <w:szCs w:val="24"/>
          <w:highlight w:val="none"/>
          <w:lang w:val="en-US" w:eastAsia="zh-CN"/>
        </w:rPr>
        <w:t>1、</w:t>
      </w:r>
      <w:r>
        <w:rPr>
          <w:rFonts w:hint="eastAsia" w:asciiTheme="minorEastAsia" w:hAnsiTheme="minorEastAsia" w:eastAsiaTheme="minorEastAsia" w:cstheme="minorEastAsia"/>
          <w:b/>
          <w:bCs/>
          <w:sz w:val="24"/>
          <w:szCs w:val="24"/>
          <w:highlight w:val="none"/>
        </w:rPr>
        <w:t>车辆配置要求</w:t>
      </w:r>
    </w:p>
    <w:p>
      <w:pPr>
        <w:pStyle w:val="224"/>
        <w:keepNext w:val="0"/>
        <w:keepLines w:val="0"/>
        <w:pageBreakBefore w:val="0"/>
        <w:tabs>
          <w:tab w:val="left" w:pos="0"/>
        </w:tabs>
        <w:kinsoku/>
        <w:wordWrap/>
        <w:overflowPunct/>
        <w:topLinePunct w:val="0"/>
        <w:bidi w:val="0"/>
        <w:adjustRightInd/>
        <w:snapToGrid/>
        <w:spacing w:line="360" w:lineRule="auto"/>
        <w:ind w:firstLine="640"/>
        <w:contextualSpacing/>
        <w:textAlignment w:val="auto"/>
        <w:rPr>
          <w:rFonts w:hint="eastAsia" w:asciiTheme="minorEastAsia" w:hAnsiTheme="minorEastAsia" w:eastAsiaTheme="minorEastAsia" w:cstheme="minorEastAsia"/>
          <w:sz w:val="24"/>
          <w:szCs w:val="24"/>
          <w:highlight w:val="none"/>
          <w:u w:val="none"/>
        </w:rPr>
      </w:pP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1.车辆符合国家行业标准规范，所有的装置应采用符合国家有关法规标准，</w:t>
      </w:r>
      <w:r>
        <w:rPr>
          <w:rFonts w:hint="eastAsia" w:asciiTheme="minorEastAsia" w:hAnsiTheme="minorEastAsia" w:eastAsiaTheme="minorEastAsia" w:cstheme="minorEastAsia"/>
          <w:sz w:val="24"/>
          <w:szCs w:val="24"/>
          <w:highlight w:val="none"/>
          <w:u w:val="none"/>
        </w:rPr>
        <w:t>发动机排放达到国</w:t>
      </w:r>
      <w:r>
        <w:rPr>
          <w:rFonts w:hint="eastAsia" w:asciiTheme="minorEastAsia" w:hAnsiTheme="minorEastAsia" w:eastAsiaTheme="minorEastAsia" w:cstheme="minorEastAsia"/>
          <w:sz w:val="24"/>
          <w:szCs w:val="24"/>
          <w:highlight w:val="none"/>
          <w:u w:val="none"/>
          <w:lang w:eastAsia="zh-CN"/>
        </w:rPr>
        <w:t>六</w:t>
      </w:r>
      <w:r>
        <w:rPr>
          <w:rFonts w:hint="eastAsia" w:asciiTheme="minorEastAsia" w:hAnsiTheme="minorEastAsia" w:eastAsiaTheme="minorEastAsia" w:cstheme="minorEastAsia"/>
          <w:sz w:val="24"/>
          <w:szCs w:val="24"/>
          <w:highlight w:val="none"/>
          <w:u w:val="none"/>
        </w:rPr>
        <w:t>标准，通过3C质量认证的合格产品。</w:t>
      </w:r>
    </w:p>
    <w:p>
      <w:pPr>
        <w:pStyle w:val="224"/>
        <w:keepNext w:val="0"/>
        <w:keepLines w:val="0"/>
        <w:pageBreakBefore w:val="0"/>
        <w:tabs>
          <w:tab w:val="left" w:pos="0"/>
        </w:tabs>
        <w:kinsoku/>
        <w:wordWrap/>
        <w:overflowPunct/>
        <w:topLinePunct w:val="0"/>
        <w:bidi w:val="0"/>
        <w:adjustRightInd/>
        <w:snapToGrid/>
        <w:spacing w:line="360" w:lineRule="auto"/>
        <w:ind w:firstLine="640"/>
        <w:contextualSpacing/>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2.车辆的改装必须由同一品牌的生产厂家负责进行，要求所配备的车载设备便于医护人员操作，其工艺要求按国家的相关规范标准执行。布局设计时要考虑设备功能拓展预留空间位置。</w:t>
      </w:r>
    </w:p>
    <w:p>
      <w:pPr>
        <w:keepNext w:val="0"/>
        <w:keepLines w:val="0"/>
        <w:pageBreakBefore w:val="0"/>
        <w:kinsoku/>
        <w:wordWrap/>
        <w:overflowPunct/>
        <w:topLinePunct w:val="0"/>
        <w:bidi w:val="0"/>
        <w:adjustRightInd/>
        <w:snapToGrid/>
        <w:spacing w:line="360" w:lineRule="auto"/>
        <w:ind w:firstLine="480" w:firstLineChars="200"/>
        <w:contextualSpacing/>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3.售后服务：车辆质保期</w:t>
      </w:r>
      <w:r>
        <w:rPr>
          <w:rFonts w:hint="eastAsia" w:ascii="宋体" w:hAnsi="宋体" w:eastAsia="宋体" w:cs="宋体"/>
          <w:sz w:val="24"/>
          <w:szCs w:val="24"/>
          <w:highlight w:val="none"/>
        </w:rPr>
        <w:t>≧</w:t>
      </w:r>
      <w:r>
        <w:rPr>
          <w:rFonts w:hint="eastAsia" w:asciiTheme="minorEastAsia" w:hAnsiTheme="minorEastAsia" w:eastAsiaTheme="minorEastAsia" w:cstheme="minorEastAsia"/>
          <w:sz w:val="24"/>
          <w:szCs w:val="24"/>
          <w:highlight w:val="none"/>
        </w:rPr>
        <w:t>2年或8万公里（先到为准），免费三清保养</w:t>
      </w:r>
      <w:r>
        <w:rPr>
          <w:rFonts w:hint="eastAsia" w:ascii="宋体" w:hAnsi="宋体" w:eastAsia="宋体" w:cs="宋体"/>
          <w:sz w:val="24"/>
          <w:szCs w:val="24"/>
          <w:highlight w:val="none"/>
        </w:rPr>
        <w:t>≧</w:t>
      </w:r>
      <w:r>
        <w:rPr>
          <w:rFonts w:hint="eastAsia" w:asciiTheme="minorEastAsia" w:hAnsiTheme="minorEastAsia" w:eastAsiaTheme="minorEastAsia" w:cstheme="minorEastAsia"/>
          <w:sz w:val="24"/>
          <w:szCs w:val="24"/>
          <w:highlight w:val="none"/>
        </w:rPr>
        <w:t>4次，所有三清保养中所需的机油、齿轮油及工时费全免。</w:t>
      </w:r>
    </w:p>
    <w:p>
      <w:pPr>
        <w:keepNext w:val="0"/>
        <w:keepLines w:val="0"/>
        <w:pageBreakBefore w:val="0"/>
        <w:kinsoku/>
        <w:wordWrap/>
        <w:overflowPunct/>
        <w:topLinePunct w:val="0"/>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lang w:val="en-US" w:eastAsia="zh-CN"/>
        </w:rPr>
        <w:t>2、</w:t>
      </w:r>
      <w:r>
        <w:rPr>
          <w:rFonts w:hint="eastAsia" w:asciiTheme="minorEastAsia" w:hAnsiTheme="minorEastAsia" w:eastAsiaTheme="minorEastAsia" w:cstheme="minorEastAsia"/>
          <w:b/>
          <w:bCs/>
          <w:sz w:val="24"/>
          <w:szCs w:val="24"/>
          <w:highlight w:val="none"/>
        </w:rPr>
        <w:t>车载设备要求</w:t>
      </w:r>
    </w:p>
    <w:p>
      <w:pPr>
        <w:keepNext w:val="0"/>
        <w:keepLines w:val="0"/>
        <w:pageBreakBefore w:val="0"/>
        <w:numPr>
          <w:ilvl w:val="0"/>
          <w:numId w:val="0"/>
        </w:numPr>
        <w:kinsoku/>
        <w:wordWrap/>
        <w:overflowPunct/>
        <w:topLinePunct w:val="0"/>
        <w:bidi w:val="0"/>
        <w:adjustRightInd/>
        <w:snapToGrid/>
        <w:spacing w:line="360" w:lineRule="auto"/>
        <w:ind w:firstLine="482" w:firstLineChars="200"/>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lang w:val="en-US" w:eastAsia="zh-CN"/>
        </w:rPr>
        <w:t>2.1.</w:t>
      </w:r>
      <w:r>
        <w:rPr>
          <w:rFonts w:hint="eastAsia" w:asciiTheme="minorEastAsia" w:hAnsiTheme="minorEastAsia" w:eastAsiaTheme="minorEastAsia" w:cstheme="minorEastAsia"/>
          <w:b/>
          <w:sz w:val="24"/>
          <w:szCs w:val="24"/>
          <w:highlight w:val="none"/>
        </w:rPr>
        <w:t>车载智能一体化体检设备：</w:t>
      </w:r>
      <w:r>
        <w:rPr>
          <w:rFonts w:hint="eastAsia" w:asciiTheme="minorEastAsia" w:hAnsiTheme="minorEastAsia" w:eastAsiaTheme="minorEastAsia" w:cstheme="minorEastAsia"/>
          <w:sz w:val="24"/>
          <w:szCs w:val="24"/>
          <w:highlight w:val="none"/>
        </w:rPr>
        <w:t>全自动血压计、智能血糖仪、脉搏血氧检测仪、快速心电图检测仪（以上设备必须配备数据传输通讯接口，使检测数据通过有线和无线数据传输，提供通讯协议和数据解析协议）。管理系统包含：身份证读卡系统工控一体电脑,智能车载体检系统(体检数据自动上传至指定信息平台）。</w:t>
      </w:r>
    </w:p>
    <w:p>
      <w:pPr>
        <w:keepNext w:val="0"/>
        <w:keepLines w:val="0"/>
        <w:pageBreakBefore w:val="0"/>
        <w:kinsoku/>
        <w:wordWrap/>
        <w:overflowPunct/>
        <w:topLinePunct w:val="0"/>
        <w:bidi w:val="0"/>
        <w:adjustRightInd/>
        <w:snapToGrid/>
        <w:spacing w:line="360" w:lineRule="auto"/>
        <w:ind w:firstLine="482" w:firstLineChars="200"/>
        <w:contextualSpacing/>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
          <w:bCs/>
          <w:sz w:val="24"/>
          <w:szCs w:val="24"/>
          <w:highlight w:val="none"/>
          <w:lang w:val="en-US" w:eastAsia="zh-CN"/>
        </w:rPr>
        <w:t>2.</w:t>
      </w:r>
      <w:r>
        <w:rPr>
          <w:rFonts w:hint="eastAsia" w:asciiTheme="minorEastAsia" w:hAnsiTheme="minorEastAsia" w:eastAsiaTheme="minorEastAsia" w:cstheme="minorEastAsia"/>
          <w:b/>
          <w:bCs/>
          <w:sz w:val="24"/>
          <w:szCs w:val="24"/>
          <w:highlight w:val="none"/>
        </w:rPr>
        <w:t>2.急救设备</w:t>
      </w:r>
      <w:r>
        <w:rPr>
          <w:rFonts w:hint="eastAsia" w:asciiTheme="minorEastAsia" w:hAnsiTheme="minorEastAsia" w:eastAsiaTheme="minorEastAsia" w:cstheme="minorEastAsia"/>
          <w:b/>
          <w:sz w:val="24"/>
          <w:szCs w:val="24"/>
          <w:highlight w:val="none"/>
        </w:rPr>
        <w:t>内容：</w:t>
      </w:r>
      <w:r>
        <w:rPr>
          <w:rFonts w:hint="eastAsia" w:asciiTheme="minorEastAsia" w:hAnsiTheme="minorEastAsia" w:eastAsiaTheme="minorEastAsia" w:cstheme="minorEastAsia"/>
          <w:sz w:val="24"/>
          <w:szCs w:val="24"/>
          <w:highlight w:val="none"/>
        </w:rPr>
        <w:t>救护轻便担架，</w:t>
      </w:r>
      <w:r>
        <w:rPr>
          <w:rFonts w:hint="eastAsia" w:asciiTheme="minorEastAsia" w:hAnsiTheme="minorEastAsia" w:eastAsiaTheme="minorEastAsia" w:cstheme="minorEastAsia"/>
          <w:sz w:val="24"/>
          <w:szCs w:val="24"/>
          <w:highlight w:val="none"/>
          <w:u w:val="none"/>
          <w:lang w:eastAsia="zh-CN"/>
        </w:rPr>
        <w:t>一</w:t>
      </w:r>
      <w:r>
        <w:rPr>
          <w:rFonts w:hint="eastAsia" w:asciiTheme="minorEastAsia" w:hAnsiTheme="minorEastAsia" w:eastAsiaTheme="minorEastAsia" w:cstheme="minorEastAsia"/>
          <w:sz w:val="24"/>
          <w:szCs w:val="24"/>
          <w:highlight w:val="none"/>
          <w:u w:val="none"/>
        </w:rPr>
        <w:t>个</w:t>
      </w:r>
      <w:r>
        <w:rPr>
          <w:rFonts w:hint="eastAsia" w:asciiTheme="minorEastAsia" w:hAnsiTheme="minorEastAsia" w:eastAsiaTheme="minorEastAsia" w:cstheme="minorEastAsia"/>
          <w:sz w:val="24"/>
          <w:szCs w:val="24"/>
          <w:highlight w:val="none"/>
          <w:u w:val="none"/>
          <w:lang w:val="en-US" w:eastAsia="zh-CN"/>
        </w:rPr>
        <w:t>10</w:t>
      </w:r>
      <w:r>
        <w:rPr>
          <w:rFonts w:hint="eastAsia" w:asciiTheme="minorEastAsia" w:hAnsiTheme="minorEastAsia" w:eastAsiaTheme="minorEastAsia" w:cstheme="minorEastAsia"/>
          <w:sz w:val="24"/>
          <w:szCs w:val="24"/>
          <w:highlight w:val="none"/>
          <w:u w:val="none"/>
        </w:rPr>
        <w:t>升</w:t>
      </w:r>
      <w:r>
        <w:rPr>
          <w:rFonts w:hint="eastAsia" w:asciiTheme="minorEastAsia" w:hAnsiTheme="minorEastAsia" w:eastAsiaTheme="minorEastAsia" w:cstheme="minorEastAsia"/>
          <w:sz w:val="24"/>
          <w:szCs w:val="24"/>
          <w:highlight w:val="none"/>
        </w:rPr>
        <w:t>氧气瓶（配备压力表、流量计、湿化瓶），急救箱，除颤仪。</w:t>
      </w:r>
    </w:p>
    <w:p>
      <w:pPr>
        <w:keepNext w:val="0"/>
        <w:keepLines w:val="0"/>
        <w:pageBreakBefore w:val="0"/>
        <w:kinsoku/>
        <w:wordWrap/>
        <w:overflowPunct/>
        <w:topLinePunct w:val="0"/>
        <w:bidi w:val="0"/>
        <w:adjustRightInd/>
        <w:snapToGrid/>
        <w:spacing w:line="360" w:lineRule="auto"/>
        <w:ind w:firstLine="482" w:firstLineChars="200"/>
        <w:contextualSpacing/>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
          <w:sz w:val="24"/>
          <w:szCs w:val="24"/>
          <w:highlight w:val="none"/>
          <w:lang w:val="en-US" w:eastAsia="zh-CN"/>
        </w:rPr>
        <w:t>2.</w:t>
      </w:r>
      <w:r>
        <w:rPr>
          <w:rFonts w:hint="eastAsia" w:asciiTheme="minorEastAsia" w:hAnsiTheme="minorEastAsia" w:eastAsiaTheme="minorEastAsia" w:cstheme="minorEastAsia"/>
          <w:b/>
          <w:sz w:val="24"/>
          <w:szCs w:val="24"/>
          <w:highlight w:val="none"/>
        </w:rPr>
        <w:t>3.证书要求：</w:t>
      </w:r>
      <w:r>
        <w:rPr>
          <w:rFonts w:hint="eastAsia" w:asciiTheme="minorEastAsia" w:hAnsiTheme="minorEastAsia" w:eastAsiaTheme="minorEastAsia" w:cstheme="minorEastAsia"/>
          <w:sz w:val="24"/>
          <w:szCs w:val="24"/>
          <w:highlight w:val="none"/>
        </w:rPr>
        <w:t>需提供医疗器械产品注册证、医疗器械生产</w:t>
      </w:r>
      <w:r>
        <w:rPr>
          <w:rFonts w:hint="eastAsia" w:asciiTheme="minorEastAsia" w:hAnsiTheme="minorEastAsia" w:eastAsiaTheme="minorEastAsia" w:cstheme="minorEastAsia"/>
          <w:sz w:val="24"/>
          <w:szCs w:val="24"/>
          <w:highlight w:val="none"/>
          <w:lang w:eastAsia="zh-CN"/>
        </w:rPr>
        <w:t>或</w:t>
      </w:r>
      <w:r>
        <w:rPr>
          <w:rFonts w:hint="eastAsia" w:asciiTheme="minorEastAsia" w:hAnsiTheme="minorEastAsia" w:eastAsiaTheme="minorEastAsia" w:cstheme="minorEastAsia"/>
          <w:sz w:val="24"/>
          <w:szCs w:val="24"/>
          <w:highlight w:val="none"/>
        </w:rPr>
        <w:t>经营许可证、合格证、出厂检验报告、说明书。所提供的管理系统必须具备自主知识产权的同名称软件著作权证书。</w:t>
      </w:r>
    </w:p>
    <w:p>
      <w:pPr>
        <w:keepNext w:val="0"/>
        <w:keepLines w:val="0"/>
        <w:pageBreakBefore w:val="0"/>
        <w:kinsoku/>
        <w:wordWrap/>
        <w:overflowPunct/>
        <w:topLinePunct w:val="0"/>
        <w:bidi w:val="0"/>
        <w:adjustRightInd/>
        <w:snapToGrid/>
        <w:spacing w:line="360" w:lineRule="auto"/>
        <w:ind w:firstLine="482" w:firstLineChars="200"/>
        <w:contextualSpacing/>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
          <w:sz w:val="24"/>
          <w:szCs w:val="24"/>
          <w:highlight w:val="none"/>
          <w:lang w:val="en-US" w:eastAsia="zh-CN"/>
        </w:rPr>
        <w:t>2.</w:t>
      </w:r>
      <w:r>
        <w:rPr>
          <w:rFonts w:hint="eastAsia" w:asciiTheme="minorEastAsia" w:hAnsiTheme="minorEastAsia" w:eastAsiaTheme="minorEastAsia" w:cstheme="minorEastAsia"/>
          <w:b/>
          <w:sz w:val="24"/>
          <w:szCs w:val="24"/>
          <w:highlight w:val="none"/>
        </w:rPr>
        <w:t>4.服务承诺：</w:t>
      </w:r>
      <w:r>
        <w:rPr>
          <w:rFonts w:hint="eastAsia" w:asciiTheme="minorEastAsia" w:hAnsiTheme="minorEastAsia" w:eastAsiaTheme="minorEastAsia" w:cstheme="minorEastAsia"/>
          <w:sz w:val="24"/>
          <w:szCs w:val="24"/>
          <w:highlight w:val="none"/>
        </w:rPr>
        <w:t>医疗设备质保期应</w:t>
      </w:r>
      <w:r>
        <w:rPr>
          <w:rFonts w:hint="eastAsia" w:ascii="宋体" w:hAnsi="宋体" w:eastAsia="宋体" w:cs="宋体"/>
          <w:sz w:val="24"/>
          <w:szCs w:val="24"/>
          <w:highlight w:val="none"/>
        </w:rPr>
        <w:t>≧</w:t>
      </w:r>
      <w:r>
        <w:rPr>
          <w:rFonts w:hint="eastAsia" w:asciiTheme="minorEastAsia" w:hAnsiTheme="minorEastAsia" w:eastAsiaTheme="minorEastAsia" w:cstheme="minorEastAsia"/>
          <w:sz w:val="24"/>
          <w:szCs w:val="24"/>
          <w:highlight w:val="none"/>
        </w:rPr>
        <w:t>两年，质保期的服务响应时间（必须在4个小时作出响应）。免费提供质保期内的日常维护，系统安装后每季度上门进行巡回维护服务，并无偿提供</w:t>
      </w:r>
      <w:r>
        <w:rPr>
          <w:rFonts w:hint="eastAsia" w:ascii="宋体" w:hAnsi="宋体" w:eastAsia="宋体" w:cs="宋体"/>
          <w:sz w:val="24"/>
          <w:szCs w:val="24"/>
          <w:highlight w:val="none"/>
        </w:rPr>
        <w:t>≧</w:t>
      </w:r>
      <w:r>
        <w:rPr>
          <w:rFonts w:hint="eastAsia" w:asciiTheme="minorEastAsia" w:hAnsiTheme="minorEastAsia" w:eastAsiaTheme="minorEastAsia" w:cstheme="minorEastAsia"/>
          <w:sz w:val="24"/>
          <w:szCs w:val="24"/>
          <w:highlight w:val="none"/>
        </w:rPr>
        <w:t>3年内软件操作系统的升级更新服务。</w:t>
      </w:r>
    </w:p>
    <w:p>
      <w:pPr>
        <w:keepNext w:val="0"/>
        <w:keepLines w:val="0"/>
        <w:pageBreakBefore w:val="0"/>
        <w:kinsoku/>
        <w:wordWrap/>
        <w:overflowPunct/>
        <w:topLinePunct w:val="0"/>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lang w:val="en-US" w:eastAsia="zh-CN"/>
        </w:rPr>
        <w:t>3、</w:t>
      </w:r>
      <w:r>
        <w:rPr>
          <w:rFonts w:hint="eastAsia" w:asciiTheme="minorEastAsia" w:hAnsiTheme="minorEastAsia" w:eastAsiaTheme="minorEastAsia" w:cstheme="minorEastAsia"/>
          <w:b/>
          <w:bCs/>
          <w:sz w:val="24"/>
          <w:szCs w:val="24"/>
          <w:highlight w:val="none"/>
        </w:rPr>
        <w:t>信息网络系统要求</w:t>
      </w:r>
    </w:p>
    <w:p>
      <w:pPr>
        <w:keepNext w:val="0"/>
        <w:keepLines w:val="0"/>
        <w:pageBreakBefore w:val="0"/>
        <w:kinsoku/>
        <w:wordWrap/>
        <w:overflowPunct/>
        <w:topLinePunct w:val="0"/>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配置相应的软件操作系统，预留有完整规范的集成接口，具有较好的升级换代的扩展性和兼容性。通过车载专用无线网接入公共/专用通信网络及计算机辅助管理系统与远程HIS管理中心联网，实现实时无线数据传输,并免费提供支持通信端口所需的软件及今后更新换代的无偿服务。各医疗仪器通讯端口接口软件相适配，保证相关的医疗检查设备数据可实时登入、录入、存储和远程传输上传。</w:t>
      </w:r>
    </w:p>
    <w:p>
      <w:pPr>
        <w:keepNext w:val="0"/>
        <w:keepLines w:val="0"/>
        <w:pageBreakBefore w:val="0"/>
        <w:kinsoku/>
        <w:wordWrap/>
        <w:overflowPunct/>
        <w:topLinePunct w:val="0"/>
        <w:bidi w:val="0"/>
        <w:adjustRightInd/>
        <w:snapToGrid/>
        <w:spacing w:line="360" w:lineRule="auto"/>
        <w:ind w:firstLine="482" w:firstLineChars="200"/>
        <w:contextualSpacing/>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
          <w:bCs/>
          <w:sz w:val="24"/>
          <w:szCs w:val="24"/>
          <w:highlight w:val="none"/>
        </w:rPr>
        <w:t xml:space="preserve"> </w:t>
      </w:r>
      <w:r>
        <w:rPr>
          <w:rFonts w:hint="eastAsia" w:asciiTheme="minorEastAsia" w:hAnsiTheme="minorEastAsia" w:eastAsiaTheme="minorEastAsia" w:cstheme="minorEastAsia"/>
          <w:b/>
          <w:bCs/>
          <w:sz w:val="24"/>
          <w:szCs w:val="24"/>
          <w:highlight w:val="none"/>
          <w:lang w:eastAsia="zh-CN"/>
        </w:rPr>
        <w:t>（</w:t>
      </w:r>
      <w:r>
        <w:rPr>
          <w:rFonts w:hint="eastAsia" w:asciiTheme="minorEastAsia" w:hAnsiTheme="minorEastAsia" w:eastAsiaTheme="minorEastAsia" w:cstheme="minorEastAsia"/>
          <w:b/>
          <w:bCs/>
          <w:sz w:val="24"/>
          <w:szCs w:val="24"/>
          <w:highlight w:val="none"/>
        </w:rPr>
        <w:t>三</w:t>
      </w:r>
      <w:r>
        <w:rPr>
          <w:rFonts w:hint="eastAsia" w:asciiTheme="minorEastAsia" w:hAnsiTheme="minorEastAsia" w:eastAsiaTheme="minorEastAsia" w:cstheme="minorEastAsia"/>
          <w:b/>
          <w:bCs/>
          <w:sz w:val="24"/>
          <w:szCs w:val="24"/>
          <w:highlight w:val="none"/>
          <w:lang w:eastAsia="zh-CN"/>
        </w:rPr>
        <w:t>）</w:t>
      </w:r>
      <w:r>
        <w:rPr>
          <w:rFonts w:hint="eastAsia" w:asciiTheme="minorEastAsia" w:hAnsiTheme="minorEastAsia" w:eastAsiaTheme="minorEastAsia" w:cstheme="minorEastAsia"/>
          <w:b/>
          <w:bCs/>
          <w:sz w:val="24"/>
          <w:szCs w:val="24"/>
          <w:highlight w:val="none"/>
        </w:rPr>
        <w:t>、采购要求：</w:t>
      </w:r>
    </w:p>
    <w:tbl>
      <w:tblPr>
        <w:tblStyle w:val="40"/>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2041"/>
        <w:gridCol w:w="1200"/>
        <w:gridCol w:w="915"/>
        <w:gridCol w:w="4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4" w:type="dxa"/>
            <w:vAlign w:val="center"/>
          </w:tcPr>
          <w:p>
            <w:pPr>
              <w:keepNext w:val="0"/>
              <w:keepLines w:val="0"/>
              <w:pageBreakBefore w:val="0"/>
              <w:tabs>
                <w:tab w:val="left" w:pos="6945"/>
              </w:tabs>
              <w:kinsoku/>
              <w:wordWrap/>
              <w:overflowPunct/>
              <w:topLinePunct w:val="0"/>
              <w:bidi w:val="0"/>
              <w:adjustRightInd/>
              <w:snapToGrid/>
              <w:spacing w:line="360" w:lineRule="auto"/>
              <w:contextualSpacing/>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合同包</w:t>
            </w:r>
          </w:p>
        </w:tc>
        <w:tc>
          <w:tcPr>
            <w:tcW w:w="2041" w:type="dxa"/>
            <w:vAlign w:val="center"/>
          </w:tcPr>
          <w:p>
            <w:pPr>
              <w:keepNext w:val="0"/>
              <w:keepLines w:val="0"/>
              <w:pageBreakBefore w:val="0"/>
              <w:tabs>
                <w:tab w:val="left" w:pos="6945"/>
              </w:tabs>
              <w:kinsoku/>
              <w:wordWrap/>
              <w:overflowPunct/>
              <w:topLinePunct w:val="0"/>
              <w:bidi w:val="0"/>
              <w:adjustRightInd/>
              <w:snapToGrid/>
              <w:spacing w:line="360" w:lineRule="auto"/>
              <w:contextualSpacing/>
              <w:jc w:val="center"/>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货物名称</w:t>
            </w:r>
          </w:p>
        </w:tc>
        <w:tc>
          <w:tcPr>
            <w:tcW w:w="1200" w:type="dxa"/>
            <w:vAlign w:val="center"/>
          </w:tcPr>
          <w:p>
            <w:pPr>
              <w:keepNext w:val="0"/>
              <w:keepLines w:val="0"/>
              <w:pageBreakBefore w:val="0"/>
              <w:tabs>
                <w:tab w:val="left" w:pos="6945"/>
              </w:tabs>
              <w:kinsoku/>
              <w:wordWrap/>
              <w:overflowPunct/>
              <w:topLinePunct w:val="0"/>
              <w:bidi w:val="0"/>
              <w:adjustRightInd/>
              <w:snapToGrid/>
              <w:spacing w:line="360" w:lineRule="auto"/>
              <w:contextualSpacing/>
              <w:jc w:val="center"/>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是否进</w:t>
            </w:r>
            <w:r>
              <w:rPr>
                <w:rFonts w:hint="eastAsia" w:asciiTheme="minorEastAsia" w:hAnsiTheme="minorEastAsia" w:eastAsiaTheme="minorEastAsia" w:cstheme="minorEastAsia"/>
                <w:sz w:val="24"/>
                <w:szCs w:val="24"/>
                <w:highlight w:val="none"/>
                <w:lang w:eastAsia="zh-CN"/>
              </w:rPr>
              <w:t>口</w:t>
            </w:r>
          </w:p>
        </w:tc>
        <w:tc>
          <w:tcPr>
            <w:tcW w:w="915" w:type="dxa"/>
            <w:vAlign w:val="center"/>
          </w:tcPr>
          <w:p>
            <w:pPr>
              <w:keepNext w:val="0"/>
              <w:keepLines w:val="0"/>
              <w:pageBreakBefore w:val="0"/>
              <w:tabs>
                <w:tab w:val="left" w:pos="6945"/>
              </w:tabs>
              <w:kinsoku/>
              <w:wordWrap/>
              <w:overflowPunct/>
              <w:topLinePunct w:val="0"/>
              <w:bidi w:val="0"/>
              <w:adjustRightInd/>
              <w:snapToGrid/>
              <w:spacing w:line="360" w:lineRule="auto"/>
              <w:contextualSpacing/>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数量</w:t>
            </w:r>
          </w:p>
        </w:tc>
        <w:tc>
          <w:tcPr>
            <w:tcW w:w="4528" w:type="dxa"/>
            <w:vAlign w:val="center"/>
          </w:tcPr>
          <w:p>
            <w:pPr>
              <w:keepNext w:val="0"/>
              <w:keepLines w:val="0"/>
              <w:pageBreakBefore w:val="0"/>
              <w:tabs>
                <w:tab w:val="left" w:pos="6945"/>
              </w:tabs>
              <w:kinsoku/>
              <w:wordWrap/>
              <w:overflowPunct/>
              <w:topLinePunct w:val="0"/>
              <w:bidi w:val="0"/>
              <w:adjustRightInd/>
              <w:snapToGrid/>
              <w:spacing w:line="360" w:lineRule="auto"/>
              <w:contextualSpacing/>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配置车载设备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4" w:type="dxa"/>
            <w:vAlign w:val="center"/>
          </w:tcPr>
          <w:p>
            <w:pPr>
              <w:keepNext w:val="0"/>
              <w:keepLines w:val="0"/>
              <w:pageBreakBefore w:val="0"/>
              <w:tabs>
                <w:tab w:val="left" w:pos="6945"/>
              </w:tabs>
              <w:kinsoku/>
              <w:wordWrap/>
              <w:overflowPunct/>
              <w:topLinePunct w:val="0"/>
              <w:bidi w:val="0"/>
              <w:adjustRightInd/>
              <w:snapToGrid/>
              <w:spacing w:line="360" w:lineRule="auto"/>
              <w:contextualSpacing/>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w:t>
            </w:r>
          </w:p>
        </w:tc>
        <w:tc>
          <w:tcPr>
            <w:tcW w:w="2041" w:type="dxa"/>
            <w:vAlign w:val="center"/>
          </w:tcPr>
          <w:p>
            <w:pPr>
              <w:keepNext w:val="0"/>
              <w:keepLines w:val="0"/>
              <w:pageBreakBefore w:val="0"/>
              <w:tabs>
                <w:tab w:val="left" w:pos="6945"/>
              </w:tabs>
              <w:kinsoku/>
              <w:wordWrap/>
              <w:overflowPunct/>
              <w:topLinePunct w:val="0"/>
              <w:bidi w:val="0"/>
              <w:adjustRightInd/>
              <w:snapToGrid/>
              <w:spacing w:line="360" w:lineRule="auto"/>
              <w:contextualSpacing/>
              <w:jc w:val="center"/>
              <w:textAlignment w:val="auto"/>
              <w:rPr>
                <w:rFonts w:hint="eastAsia" w:asciiTheme="minorEastAsia" w:hAnsiTheme="minorEastAsia" w:eastAsiaTheme="minorEastAsia" w:cstheme="minorEastAsia"/>
                <w:sz w:val="24"/>
                <w:szCs w:val="24"/>
                <w:highlight w:val="none"/>
              </w:rPr>
            </w:pPr>
            <w:r>
              <w:rPr>
                <w:rFonts w:hint="eastAsia" w:ascii="宋体" w:hAnsi="宋体" w:cs="宋体"/>
                <w:color w:val="auto"/>
                <w:sz w:val="24"/>
                <w:highlight w:val="none"/>
                <w:lang w:eastAsia="zh-CN"/>
              </w:rPr>
              <w:t>转运</w:t>
            </w:r>
            <w:r>
              <w:rPr>
                <w:rFonts w:hint="eastAsia" w:ascii="宋体" w:hAnsi="宋体" w:eastAsia="宋体" w:cs="宋体"/>
                <w:color w:val="auto"/>
                <w:sz w:val="24"/>
                <w:highlight w:val="none"/>
              </w:rPr>
              <w:t>救护车</w:t>
            </w:r>
          </w:p>
        </w:tc>
        <w:tc>
          <w:tcPr>
            <w:tcW w:w="1200" w:type="dxa"/>
            <w:vAlign w:val="center"/>
          </w:tcPr>
          <w:p>
            <w:pPr>
              <w:keepNext w:val="0"/>
              <w:keepLines w:val="0"/>
              <w:pageBreakBefore w:val="0"/>
              <w:tabs>
                <w:tab w:val="left" w:pos="6945"/>
              </w:tabs>
              <w:kinsoku/>
              <w:wordWrap/>
              <w:overflowPunct/>
              <w:topLinePunct w:val="0"/>
              <w:bidi w:val="0"/>
              <w:adjustRightInd/>
              <w:snapToGrid/>
              <w:spacing w:line="360" w:lineRule="auto"/>
              <w:contextualSpacing/>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否</w:t>
            </w:r>
          </w:p>
        </w:tc>
        <w:tc>
          <w:tcPr>
            <w:tcW w:w="915" w:type="dxa"/>
            <w:vAlign w:val="center"/>
          </w:tcPr>
          <w:p>
            <w:pPr>
              <w:keepNext w:val="0"/>
              <w:keepLines w:val="0"/>
              <w:pageBreakBefore w:val="0"/>
              <w:tabs>
                <w:tab w:val="left" w:pos="6945"/>
              </w:tabs>
              <w:kinsoku/>
              <w:wordWrap/>
              <w:overflowPunct/>
              <w:topLinePunct w:val="0"/>
              <w:bidi w:val="0"/>
              <w:adjustRightInd/>
              <w:snapToGrid/>
              <w:spacing w:line="360" w:lineRule="auto"/>
              <w:contextualSpacing/>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10</w:t>
            </w:r>
            <w:r>
              <w:rPr>
                <w:rFonts w:hint="eastAsia" w:asciiTheme="minorEastAsia" w:hAnsiTheme="minorEastAsia" w:eastAsiaTheme="minorEastAsia" w:cstheme="minorEastAsia"/>
                <w:sz w:val="24"/>
                <w:szCs w:val="24"/>
                <w:highlight w:val="none"/>
              </w:rPr>
              <w:t>0辆</w:t>
            </w:r>
          </w:p>
        </w:tc>
        <w:tc>
          <w:tcPr>
            <w:tcW w:w="4528" w:type="dxa"/>
            <w:vAlign w:val="center"/>
          </w:tcPr>
          <w:p>
            <w:pPr>
              <w:keepNext w:val="0"/>
              <w:keepLines w:val="0"/>
              <w:pageBreakBefore w:val="0"/>
              <w:tabs>
                <w:tab w:val="left" w:pos="6945"/>
              </w:tabs>
              <w:kinsoku/>
              <w:wordWrap/>
              <w:overflowPunct/>
              <w:topLinePunct w:val="0"/>
              <w:bidi w:val="0"/>
              <w:adjustRightInd/>
              <w:snapToGrid/>
              <w:spacing w:line="360" w:lineRule="auto"/>
              <w:contextualSpacing/>
              <w:jc w:val="lef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1. AED自动除颤仪、轻便担架，氧气瓶，急救箱各一台（套）</w:t>
            </w:r>
            <w:r>
              <w:rPr>
                <w:rFonts w:hint="eastAsia" w:asciiTheme="minorEastAsia" w:hAnsiTheme="minorEastAsia" w:eastAsiaTheme="minorEastAsia" w:cstheme="minorEastAsia"/>
                <w:sz w:val="24"/>
                <w:szCs w:val="24"/>
                <w:highlight w:val="none"/>
                <w:lang w:eastAsia="zh-CN"/>
              </w:rPr>
              <w:t>。</w:t>
            </w:r>
          </w:p>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2.智能一体化体检设备（一套）</w:t>
            </w:r>
            <w:r>
              <w:rPr>
                <w:rFonts w:hint="eastAsia" w:asciiTheme="minorEastAsia" w:hAnsiTheme="minorEastAsia" w:eastAsiaTheme="minorEastAsia" w:cstheme="minorEastAsia"/>
                <w:sz w:val="24"/>
                <w:szCs w:val="24"/>
                <w:highlight w:val="none"/>
                <w:lang w:eastAsia="zh-CN"/>
              </w:rPr>
              <w:t>包含</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eastAsia="zh-CN"/>
              </w:rPr>
              <w:t>全自动</w:t>
            </w:r>
            <w:r>
              <w:rPr>
                <w:rFonts w:hint="eastAsia" w:asciiTheme="minorEastAsia" w:hAnsiTheme="minorEastAsia" w:eastAsiaTheme="minorEastAsia" w:cstheme="minorEastAsia"/>
                <w:sz w:val="24"/>
                <w:szCs w:val="24"/>
                <w:highlight w:val="none"/>
              </w:rPr>
              <w:t>血压计、智能血糖仪、</w:t>
            </w:r>
            <w:r>
              <w:rPr>
                <w:rFonts w:hint="eastAsia" w:asciiTheme="minorEastAsia" w:hAnsiTheme="minorEastAsia" w:eastAsiaTheme="minorEastAsia" w:cstheme="minorEastAsia"/>
                <w:sz w:val="24"/>
                <w:szCs w:val="24"/>
                <w:highlight w:val="none"/>
                <w:lang w:eastAsia="zh-CN"/>
              </w:rPr>
              <w:t>快速</w:t>
            </w:r>
            <w:r>
              <w:rPr>
                <w:rFonts w:hint="eastAsia" w:asciiTheme="minorEastAsia" w:hAnsiTheme="minorEastAsia" w:eastAsiaTheme="minorEastAsia" w:cstheme="minorEastAsia"/>
                <w:sz w:val="24"/>
                <w:szCs w:val="24"/>
                <w:highlight w:val="none"/>
              </w:rPr>
              <w:t>心电图检测仪、脉搏血氧检测仪及</w:t>
            </w:r>
            <w:r>
              <w:rPr>
                <w:rFonts w:hint="eastAsia" w:asciiTheme="minorEastAsia" w:hAnsiTheme="minorEastAsia" w:eastAsiaTheme="minorEastAsia" w:cstheme="minorEastAsia"/>
                <w:sz w:val="24"/>
                <w:szCs w:val="24"/>
                <w:highlight w:val="none"/>
                <w:lang w:eastAsia="zh-CN"/>
              </w:rPr>
              <w:t>信息</w:t>
            </w:r>
            <w:r>
              <w:rPr>
                <w:rFonts w:hint="eastAsia" w:asciiTheme="minorEastAsia" w:hAnsiTheme="minorEastAsia" w:eastAsiaTheme="minorEastAsia" w:cstheme="minorEastAsia"/>
                <w:sz w:val="24"/>
                <w:szCs w:val="24"/>
                <w:highlight w:val="none"/>
              </w:rPr>
              <w:t>管理系统。</w:t>
            </w:r>
          </w:p>
        </w:tc>
      </w:tr>
    </w:tbl>
    <w:p>
      <w:pPr>
        <w:keepNext w:val="0"/>
        <w:keepLines w:val="0"/>
        <w:pageBreakBefore w:val="0"/>
        <w:tabs>
          <w:tab w:val="left" w:pos="6945"/>
        </w:tabs>
        <w:kinsoku/>
        <w:wordWrap/>
        <w:overflowPunct/>
        <w:topLinePunct w:val="0"/>
        <w:bidi w:val="0"/>
        <w:adjustRightInd/>
        <w:snapToGrid/>
        <w:spacing w:line="360" w:lineRule="auto"/>
        <w:contextualSpacing/>
        <w:textAlignment w:val="auto"/>
        <w:rPr>
          <w:rFonts w:hint="eastAsia" w:asciiTheme="minorEastAsia" w:hAnsiTheme="minorEastAsia" w:eastAsiaTheme="minorEastAsia" w:cstheme="minorEastAsia"/>
          <w:b/>
          <w:bCs/>
          <w:sz w:val="24"/>
          <w:szCs w:val="24"/>
          <w:highlight w:val="none"/>
          <w:u w:val="single"/>
        </w:rPr>
      </w:pPr>
    </w:p>
    <w:p>
      <w:pPr>
        <w:keepNext w:val="0"/>
        <w:keepLines w:val="0"/>
        <w:pageBreakBefore w:val="0"/>
        <w:tabs>
          <w:tab w:val="left" w:pos="6945"/>
        </w:tabs>
        <w:kinsoku/>
        <w:wordWrap/>
        <w:overflowPunct/>
        <w:topLinePunct w:val="0"/>
        <w:bidi w:val="0"/>
        <w:adjustRightInd/>
        <w:snapToGrid/>
        <w:spacing w:line="360" w:lineRule="auto"/>
        <w:contextualSpacing/>
        <w:textAlignment w:val="auto"/>
        <w:rPr>
          <w:rFonts w:hint="eastAsia" w:asciiTheme="minorEastAsia" w:hAnsiTheme="minorEastAsia" w:eastAsiaTheme="minorEastAsia" w:cstheme="minorEastAsia"/>
          <w:b/>
          <w:bCs/>
          <w:sz w:val="24"/>
          <w:szCs w:val="24"/>
          <w:highlight w:val="none"/>
          <w:u w:val="single"/>
        </w:rPr>
      </w:pPr>
      <w:r>
        <w:rPr>
          <w:rFonts w:hint="eastAsia" w:asciiTheme="minorEastAsia" w:hAnsiTheme="minorEastAsia" w:eastAsiaTheme="minorEastAsia" w:cstheme="minorEastAsia"/>
          <w:b/>
          <w:bCs/>
          <w:sz w:val="24"/>
          <w:szCs w:val="24"/>
          <w:highlight w:val="none"/>
          <w:u w:val="single"/>
        </w:rPr>
        <w:t>注：车辆及各种车载参数见附件1——附件4。</w:t>
      </w:r>
    </w:p>
    <w:p>
      <w:pPr>
        <w:keepNext w:val="0"/>
        <w:keepLines w:val="0"/>
        <w:pageBreakBefore w:val="0"/>
        <w:kinsoku/>
        <w:wordWrap/>
        <w:overflowPunct/>
        <w:topLinePunct w:val="0"/>
        <w:bidi w:val="0"/>
        <w:adjustRightInd/>
        <w:snapToGrid/>
        <w:spacing w:line="360" w:lineRule="auto"/>
        <w:ind w:firstLine="723" w:firstLineChars="3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
          <w:bCs/>
          <w:sz w:val="24"/>
          <w:szCs w:val="24"/>
          <w:highlight w:val="none"/>
          <w:lang w:val="en-US" w:eastAsia="zh-CN"/>
        </w:rPr>
        <w:t>1、</w:t>
      </w:r>
      <w:r>
        <w:rPr>
          <w:rFonts w:hint="eastAsia" w:asciiTheme="minorEastAsia" w:hAnsiTheme="minorEastAsia" w:eastAsiaTheme="minorEastAsia" w:cstheme="minorEastAsia"/>
          <w:b/>
          <w:bCs/>
          <w:sz w:val="24"/>
          <w:szCs w:val="24"/>
          <w:highlight w:val="none"/>
        </w:rPr>
        <w:t>提供材料：</w:t>
      </w:r>
      <w:r>
        <w:rPr>
          <w:rFonts w:hint="eastAsia" w:asciiTheme="minorEastAsia" w:hAnsiTheme="minorEastAsia" w:eastAsiaTheme="minorEastAsia" w:cstheme="minorEastAsia"/>
          <w:sz w:val="24"/>
          <w:szCs w:val="24"/>
          <w:highlight w:val="none"/>
        </w:rPr>
        <w:t>各投标方在</w:t>
      </w:r>
      <w:r>
        <w:rPr>
          <w:rFonts w:hint="eastAsia" w:asciiTheme="minorEastAsia" w:hAnsiTheme="minorEastAsia" w:eastAsiaTheme="minorEastAsia" w:cstheme="minorEastAsia"/>
          <w:sz w:val="24"/>
          <w:szCs w:val="24"/>
          <w:highlight w:val="none"/>
          <w:u w:val="none"/>
        </w:rPr>
        <w:t>投标时应提供相关车辆体检舱平面布置图、车内设备布置配备图及车辆内/外彩图。</w:t>
      </w:r>
      <w:r>
        <w:rPr>
          <w:rFonts w:hint="eastAsia" w:asciiTheme="minorEastAsia" w:hAnsiTheme="minorEastAsia" w:eastAsiaTheme="minorEastAsia" w:cstheme="minorEastAsia"/>
          <w:sz w:val="24"/>
          <w:szCs w:val="24"/>
          <w:highlight w:val="none"/>
        </w:rPr>
        <w:t>供货方需提供车辆、设备及相关的配套设施产品的出厂技术参数表，使用说明等资料。本采购方案中未提及的参数及功能和其优势项目，可提供补充说明材料，以作为选择参考。</w:t>
      </w:r>
    </w:p>
    <w:p>
      <w:pPr>
        <w:keepNext w:val="0"/>
        <w:keepLines w:val="0"/>
        <w:pageBreakBefore w:val="0"/>
        <w:kinsoku/>
        <w:wordWrap/>
        <w:overflowPunct/>
        <w:topLinePunct w:val="0"/>
        <w:bidi w:val="0"/>
        <w:adjustRightInd/>
        <w:snapToGrid/>
        <w:spacing w:line="360" w:lineRule="auto"/>
        <w:ind w:firstLine="64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
          <w:sz w:val="24"/>
          <w:szCs w:val="24"/>
          <w:highlight w:val="none"/>
          <w:lang w:val="en-US" w:eastAsia="zh-CN"/>
        </w:rPr>
        <w:t>2、售</w:t>
      </w:r>
      <w:r>
        <w:rPr>
          <w:rFonts w:hint="eastAsia" w:asciiTheme="minorEastAsia" w:hAnsiTheme="minorEastAsia" w:eastAsiaTheme="minorEastAsia" w:cstheme="minorEastAsia"/>
          <w:b/>
          <w:sz w:val="24"/>
          <w:szCs w:val="24"/>
          <w:highlight w:val="none"/>
        </w:rPr>
        <w:t>后服务：</w:t>
      </w:r>
      <w:r>
        <w:rPr>
          <w:rFonts w:hint="eastAsia" w:asciiTheme="minorEastAsia" w:hAnsiTheme="minorEastAsia" w:eastAsiaTheme="minorEastAsia" w:cstheme="minorEastAsia"/>
          <w:sz w:val="24"/>
          <w:szCs w:val="24"/>
          <w:highlight w:val="none"/>
        </w:rPr>
        <w:t>中标供应商</w:t>
      </w:r>
      <w:r>
        <w:rPr>
          <w:rFonts w:hint="eastAsia" w:asciiTheme="minorEastAsia" w:hAnsiTheme="minorEastAsia" w:eastAsiaTheme="minorEastAsia" w:cstheme="minorEastAsia"/>
          <w:kern w:val="0"/>
          <w:sz w:val="24"/>
          <w:szCs w:val="24"/>
          <w:highlight w:val="none"/>
        </w:rPr>
        <w:t>所提供的车辆及其底盘车均须有国家汽车公告认可，车辆运行安全条件应符合GB7258－2017《机动车运行安全技术条件》，</w:t>
      </w:r>
      <w:r>
        <w:rPr>
          <w:rFonts w:hint="eastAsia" w:asciiTheme="minorEastAsia" w:hAnsiTheme="minorEastAsia" w:eastAsiaTheme="minorEastAsia" w:cstheme="minorEastAsia"/>
          <w:sz w:val="24"/>
          <w:szCs w:val="24"/>
          <w:highlight w:val="none"/>
        </w:rPr>
        <w:t>并提供车辆售后维护保养服务，车载医疗设备售后服务由设备厂家负责。</w:t>
      </w:r>
    </w:p>
    <w:p>
      <w:pPr>
        <w:keepNext w:val="0"/>
        <w:keepLines w:val="0"/>
        <w:pageBreakBefore w:val="0"/>
        <w:kinsoku/>
        <w:wordWrap/>
        <w:overflowPunct/>
        <w:topLinePunct w:val="0"/>
        <w:bidi w:val="0"/>
        <w:adjustRightInd/>
        <w:snapToGrid/>
        <w:spacing w:line="360" w:lineRule="auto"/>
        <w:ind w:firstLine="640"/>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bCs/>
          <w:sz w:val="24"/>
          <w:szCs w:val="24"/>
          <w:highlight w:val="none"/>
          <w:lang w:val="en-US" w:eastAsia="zh-CN"/>
        </w:rPr>
        <w:t>3、</w:t>
      </w:r>
      <w:r>
        <w:rPr>
          <w:rFonts w:hint="eastAsia" w:asciiTheme="minorEastAsia" w:hAnsiTheme="minorEastAsia" w:eastAsiaTheme="minorEastAsia" w:cstheme="minorEastAsia"/>
          <w:b/>
          <w:bCs/>
          <w:sz w:val="24"/>
          <w:szCs w:val="24"/>
          <w:highlight w:val="none"/>
          <w:lang w:eastAsia="zh-CN"/>
        </w:rPr>
        <w:t>上牌与配件：</w:t>
      </w:r>
      <w:r>
        <w:rPr>
          <w:rFonts w:hint="eastAsia" w:asciiTheme="minorEastAsia" w:hAnsiTheme="minorEastAsia" w:eastAsiaTheme="minorEastAsia" w:cstheme="minorEastAsia"/>
          <w:sz w:val="24"/>
          <w:szCs w:val="24"/>
          <w:highlight w:val="none"/>
          <w:lang w:eastAsia="zh-CN"/>
        </w:rPr>
        <w:t>中标供应商必须保证车辆顺利办理报牌手续，并提供售后维护配件和服务，否则按中标价格予以赔偿。</w:t>
      </w:r>
    </w:p>
    <w:p>
      <w:pP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br w:type="page"/>
      </w:r>
    </w:p>
    <w:p>
      <w:pPr>
        <w:pStyle w:val="225"/>
        <w:keepNext w:val="0"/>
        <w:keepLines w:val="0"/>
        <w:pageBreakBefore w:val="0"/>
        <w:kinsoku/>
        <w:wordWrap/>
        <w:overflowPunct/>
        <w:topLinePunct w:val="0"/>
        <w:bidi w:val="0"/>
        <w:adjustRightInd/>
        <w:snapToGrid/>
        <w:spacing w:line="360" w:lineRule="auto"/>
        <w:ind w:firstLine="0" w:firstLineChars="0"/>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附件1</w:t>
      </w:r>
    </w:p>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救护车主要配置与参数</w:t>
      </w:r>
    </w:p>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shd w:val="pct10" w:color="auto" w:fill="FFFFFF"/>
        </w:rPr>
        <w:t>一、救护车参数表</w:t>
      </w:r>
    </w:p>
    <w:tbl>
      <w:tblPr>
        <w:tblStyle w:val="40"/>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843"/>
        <w:gridCol w:w="2065"/>
        <w:gridCol w:w="4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02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分项</w:t>
            </w:r>
          </w:p>
        </w:tc>
        <w:tc>
          <w:tcPr>
            <w:tcW w:w="3908" w:type="dxa"/>
            <w:gridSpan w:val="2"/>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项         目</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1020" w:type="dxa"/>
            <w:vMerge w:val="restart"/>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整车</w:t>
            </w:r>
          </w:p>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参数</w:t>
            </w: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外形尺寸（ 长宽×高）（mm）</w:t>
            </w:r>
          </w:p>
        </w:tc>
        <w:tc>
          <w:tcPr>
            <w:tcW w:w="4850" w:type="dxa"/>
            <w:vAlign w:val="top"/>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5330±5×1700±5×2440±5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轴      数</w:t>
            </w:r>
          </w:p>
        </w:tc>
        <w:tc>
          <w:tcPr>
            <w:tcW w:w="4850" w:type="dxa"/>
            <w:vAlign w:val="top"/>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轴      距（mm）</w:t>
            </w:r>
          </w:p>
        </w:tc>
        <w:tc>
          <w:tcPr>
            <w:tcW w:w="4850" w:type="dxa"/>
            <w:vAlign w:val="top"/>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1843" w:type="dxa"/>
            <w:vMerge w:val="restart"/>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轮      距（mm）</w:t>
            </w:r>
          </w:p>
        </w:tc>
        <w:tc>
          <w:tcPr>
            <w:tcW w:w="2065" w:type="dxa"/>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xml:space="preserve"> 前  轮 </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宋体" w:hAnsi="宋体" w:eastAsia="宋体" w:cs="宋体"/>
                <w:sz w:val="24"/>
                <w:szCs w:val="24"/>
                <w:highlight w:val="none"/>
              </w:rPr>
              <w:t>≧</w:t>
            </w:r>
            <w:r>
              <w:rPr>
                <w:rFonts w:hint="eastAsia" w:asciiTheme="minorEastAsia" w:hAnsiTheme="minorEastAsia" w:eastAsiaTheme="minorEastAsia" w:cstheme="minorEastAsia"/>
                <w:sz w:val="24"/>
                <w:szCs w:val="24"/>
                <w:highlight w:val="none"/>
              </w:rPr>
              <w:t>1450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jc w:val="left"/>
              <w:textAlignment w:val="auto"/>
              <w:rPr>
                <w:rFonts w:hint="eastAsia" w:asciiTheme="minorEastAsia" w:hAnsiTheme="minorEastAsia" w:eastAsiaTheme="minorEastAsia" w:cstheme="minorEastAsia"/>
                <w:kern w:val="0"/>
                <w:sz w:val="24"/>
                <w:szCs w:val="24"/>
                <w:highlight w:val="none"/>
              </w:rPr>
            </w:pPr>
          </w:p>
        </w:tc>
        <w:tc>
          <w:tcPr>
            <w:tcW w:w="1843" w:type="dxa"/>
            <w:vMerge w:val="continue"/>
            <w:vAlign w:val="center"/>
          </w:tcPr>
          <w:p>
            <w:pPr>
              <w:keepNext w:val="0"/>
              <w:keepLines w:val="0"/>
              <w:pageBreakBefore w:val="0"/>
              <w:widowControl/>
              <w:kinsoku/>
              <w:wordWrap/>
              <w:overflowPunct/>
              <w:topLinePunct w:val="0"/>
              <w:bidi w:val="0"/>
              <w:adjustRightInd/>
              <w:snapToGrid/>
              <w:spacing w:line="360" w:lineRule="auto"/>
              <w:jc w:val="left"/>
              <w:textAlignment w:val="auto"/>
              <w:rPr>
                <w:rFonts w:hint="eastAsia" w:asciiTheme="minorEastAsia" w:hAnsiTheme="minorEastAsia" w:eastAsiaTheme="minorEastAsia" w:cstheme="minorEastAsia"/>
                <w:kern w:val="0"/>
                <w:sz w:val="24"/>
                <w:szCs w:val="24"/>
                <w:highlight w:val="none"/>
              </w:rPr>
            </w:pPr>
          </w:p>
        </w:tc>
        <w:tc>
          <w:tcPr>
            <w:tcW w:w="2065" w:type="dxa"/>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xml:space="preserve"> 后  轮</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宋体" w:hAnsi="宋体" w:eastAsia="宋体" w:cs="宋体"/>
                <w:sz w:val="24"/>
                <w:szCs w:val="24"/>
                <w:highlight w:val="none"/>
              </w:rPr>
              <w:t>≧</w:t>
            </w:r>
            <w:r>
              <w:rPr>
                <w:rFonts w:hint="eastAsia" w:asciiTheme="minorEastAsia" w:hAnsiTheme="minorEastAsia" w:eastAsiaTheme="minorEastAsia" w:cstheme="minorEastAsia"/>
                <w:sz w:val="24"/>
                <w:szCs w:val="24"/>
                <w:highlight w:val="none"/>
              </w:rPr>
              <w:t>1430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最大总质量（kg）</w:t>
            </w:r>
          </w:p>
        </w:tc>
        <w:tc>
          <w:tcPr>
            <w:tcW w:w="4850" w:type="dxa"/>
            <w:vAlign w:val="top"/>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整车整备质量（kg）</w:t>
            </w:r>
          </w:p>
        </w:tc>
        <w:tc>
          <w:tcPr>
            <w:tcW w:w="4850" w:type="dxa"/>
            <w:vAlign w:val="top"/>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接近角 /离去角（°）</w:t>
            </w:r>
          </w:p>
        </w:tc>
        <w:tc>
          <w:tcPr>
            <w:tcW w:w="4850" w:type="dxa"/>
            <w:vAlign w:val="top"/>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18/13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前悬/后悬（mm）</w:t>
            </w:r>
          </w:p>
        </w:tc>
        <w:tc>
          <w:tcPr>
            <w:tcW w:w="4850" w:type="dxa"/>
            <w:vAlign w:val="top"/>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1300/1140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额定乘员（含驾驶员）</w:t>
            </w:r>
          </w:p>
        </w:tc>
        <w:tc>
          <w:tcPr>
            <w:tcW w:w="4850"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pStyle w:val="22"/>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最高车速（km/h）</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sz w:val="24"/>
                <w:szCs w:val="24"/>
                <w:highlight w:val="none"/>
              </w:rPr>
              <w:t>最 小 转 弯 直 径</w:t>
            </w:r>
            <w:r>
              <w:rPr>
                <w:rFonts w:hint="eastAsia" w:asciiTheme="minorEastAsia" w:hAnsiTheme="minorEastAsia" w:eastAsiaTheme="minorEastAsia" w:cstheme="minorEastAsia"/>
                <w:kern w:val="0"/>
                <w:sz w:val="24"/>
                <w:szCs w:val="24"/>
                <w:highlight w:val="none"/>
              </w:rPr>
              <w:t>（m）</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最大爬坡度</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最小离地间隙</w:t>
            </w:r>
            <w:r>
              <w:rPr>
                <w:rFonts w:hint="eastAsia" w:asciiTheme="minorEastAsia" w:hAnsiTheme="minorEastAsia" w:eastAsiaTheme="minorEastAsia" w:cstheme="minorEastAsia"/>
                <w:kern w:val="0"/>
                <w:sz w:val="24"/>
                <w:szCs w:val="24"/>
                <w:highlight w:val="none"/>
              </w:rPr>
              <w:t>（mm）</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155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燃油箱容量（L）</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驱动方式</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排放</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国</w:t>
            </w:r>
            <w:r>
              <w:rPr>
                <w:rFonts w:hint="eastAsia" w:asciiTheme="minorEastAsia" w:hAnsiTheme="minorEastAsia" w:eastAsiaTheme="minorEastAsia" w:cstheme="minorEastAsia"/>
                <w:sz w:val="24"/>
                <w:szCs w:val="24"/>
                <w:highlight w:val="none"/>
                <w:lang w:eastAsia="zh-CN"/>
              </w:rPr>
              <w:t>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restart"/>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发动机</w:t>
            </w:r>
          </w:p>
        </w:tc>
        <w:tc>
          <w:tcPr>
            <w:tcW w:w="3908" w:type="dxa"/>
            <w:gridSpan w:val="2"/>
            <w:vAlign w:val="center"/>
          </w:tcPr>
          <w:p>
            <w:pPr>
              <w:pStyle w:val="22"/>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使用燃料</w:t>
            </w:r>
          </w:p>
        </w:tc>
        <w:tc>
          <w:tcPr>
            <w:tcW w:w="4850" w:type="dxa"/>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kinsoku/>
              <w:wordWrap/>
              <w:overflowPunct/>
              <w:topLinePunct w:val="0"/>
              <w:bidi w:val="0"/>
              <w:adjustRightInd/>
              <w:snapToGrid/>
              <w:spacing w:line="360" w:lineRule="auto"/>
              <w:ind w:right="-111" w:rightChars="-53"/>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排量</w:t>
            </w:r>
            <w:r>
              <w:rPr>
                <w:rFonts w:hint="eastAsia" w:asciiTheme="minorEastAsia" w:hAnsiTheme="minorEastAsia" w:eastAsiaTheme="minorEastAsia" w:cstheme="minorEastAsia"/>
                <w:sz w:val="24"/>
                <w:szCs w:val="24"/>
                <w:highlight w:val="none"/>
              </w:rPr>
              <w:t>(ml)</w:t>
            </w:r>
          </w:p>
        </w:tc>
        <w:tc>
          <w:tcPr>
            <w:tcW w:w="4850" w:type="dxa"/>
            <w:vAlign w:val="center"/>
          </w:tcPr>
          <w:p>
            <w:pPr>
              <w:pStyle w:val="22"/>
              <w:keepNext w:val="0"/>
              <w:keepLines w:val="0"/>
              <w:pageBreakBefore w:val="0"/>
              <w:kinsoku/>
              <w:wordWrap/>
              <w:overflowPunct/>
              <w:topLinePunct w:val="0"/>
              <w:bidi w:val="0"/>
              <w:adjustRightInd/>
              <w:snapToGrid/>
              <w:spacing w:line="360" w:lineRule="auto"/>
              <w:ind w:right="-105" w:rightChars="-50"/>
              <w:jc w:val="center"/>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1750-2000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kern w:val="0"/>
                <w:sz w:val="24"/>
                <w:szCs w:val="24"/>
                <w:highlight w:val="none"/>
              </w:rPr>
              <w:t>额定功率 (kW)</w:t>
            </w:r>
          </w:p>
        </w:tc>
        <w:tc>
          <w:tcPr>
            <w:tcW w:w="4850" w:type="dxa"/>
            <w:vAlign w:val="center"/>
          </w:tcPr>
          <w:p>
            <w:pPr>
              <w:pStyle w:val="22"/>
              <w:keepNext w:val="0"/>
              <w:keepLines w:val="0"/>
              <w:pageBreakBefore w:val="0"/>
              <w:kinsoku/>
              <w:wordWrap/>
              <w:overflowPunct/>
              <w:topLinePunct w:val="0"/>
              <w:bidi w:val="0"/>
              <w:adjustRightInd/>
              <w:snapToGrid/>
              <w:spacing w:line="360" w:lineRule="auto"/>
              <w:ind w:right="-105" w:rightChars="-50"/>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kern w:val="0"/>
                <w:sz w:val="24"/>
                <w:szCs w:val="24"/>
                <w:highlight w:val="none"/>
              </w:rPr>
              <w:t>9</w:t>
            </w:r>
            <w:r>
              <w:rPr>
                <w:rFonts w:hint="eastAsia" w:asciiTheme="minorEastAsia" w:hAnsiTheme="minorEastAsia" w:eastAsiaTheme="minorEastAsia" w:cstheme="minorEastAsia"/>
                <w:kern w:val="0"/>
                <w:sz w:val="24"/>
                <w:szCs w:val="24"/>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最大扭矩(N.m)</w:t>
            </w:r>
          </w:p>
        </w:tc>
        <w:tc>
          <w:tcPr>
            <w:tcW w:w="4850"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lang w:eastAsia="zh-CN"/>
              </w:rPr>
            </w:pPr>
            <w:r>
              <w:rPr>
                <w:rFonts w:hint="eastAsia" w:ascii="宋体" w:hAnsi="宋体" w:eastAsia="宋体" w:cs="宋体"/>
                <w:sz w:val="24"/>
                <w:szCs w:val="24"/>
                <w:highlight w:val="none"/>
              </w:rPr>
              <w:t>≧</w:t>
            </w:r>
            <w:r>
              <w:rPr>
                <w:rFonts w:hint="eastAsia" w:asciiTheme="minorEastAsia" w:hAnsiTheme="minorEastAsia" w:eastAsiaTheme="minorEastAsia" w:cstheme="minorEastAsia"/>
                <w:kern w:val="0"/>
                <w:sz w:val="24"/>
                <w:szCs w:val="24"/>
                <w:highlight w:val="no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keepNext w:val="0"/>
              <w:keepLines w:val="0"/>
              <w:pageBreakBefore w:val="0"/>
              <w:widowControl/>
              <w:kinsoku/>
              <w:wordWrap/>
              <w:overflowPunct/>
              <w:topLinePunct w:val="0"/>
              <w:bidi w:val="0"/>
              <w:adjustRightInd/>
              <w:snapToGrid/>
              <w:spacing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最大扭矩转速 (r/min)</w:t>
            </w:r>
          </w:p>
        </w:tc>
        <w:tc>
          <w:tcPr>
            <w:tcW w:w="4850"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3600-4400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restart"/>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sz w:val="24"/>
                <w:szCs w:val="24"/>
                <w:highlight w:val="none"/>
              </w:rPr>
              <w:t>变速器</w:t>
            </w:r>
          </w:p>
        </w:tc>
        <w:tc>
          <w:tcPr>
            <w:tcW w:w="3908" w:type="dxa"/>
            <w:gridSpan w:val="2"/>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sz w:val="24"/>
                <w:szCs w:val="24"/>
                <w:highlight w:val="none"/>
              </w:rPr>
              <w:t>型 式</w:t>
            </w:r>
          </w:p>
        </w:tc>
        <w:tc>
          <w:tcPr>
            <w:tcW w:w="4850" w:type="dxa"/>
            <w:vAlign w:val="center"/>
          </w:tcPr>
          <w:p>
            <w:pPr>
              <w:pStyle w:val="22"/>
              <w:keepNext w:val="0"/>
              <w:keepLines w:val="0"/>
              <w:pageBreakBefore w:val="0"/>
              <w:kinsoku/>
              <w:wordWrap/>
              <w:overflowPunct/>
              <w:topLinePunct w:val="0"/>
              <w:bidi w:val="0"/>
              <w:adjustRightInd/>
              <w:snapToGrid/>
              <w:spacing w:line="360" w:lineRule="auto"/>
              <w:ind w:right="-105" w:rightChars="-50"/>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sz w:val="24"/>
                <w:szCs w:val="24"/>
                <w:highlight w:val="none"/>
              </w:rPr>
              <w:t>五档全同步，手动MT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pStyle w:val="22"/>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p>
        </w:tc>
        <w:tc>
          <w:tcPr>
            <w:tcW w:w="3908" w:type="dxa"/>
            <w:gridSpan w:val="2"/>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操纵型式</w:t>
            </w:r>
          </w:p>
        </w:tc>
        <w:tc>
          <w:tcPr>
            <w:tcW w:w="4850" w:type="dxa"/>
            <w:vAlign w:val="center"/>
          </w:tcPr>
          <w:p>
            <w:pPr>
              <w:pStyle w:val="22"/>
              <w:keepNext w:val="0"/>
              <w:keepLines w:val="0"/>
              <w:pageBreakBefore w:val="0"/>
              <w:kinsoku/>
              <w:wordWrap/>
              <w:overflowPunct/>
              <w:topLinePunct w:val="0"/>
              <w:bidi w:val="0"/>
              <w:adjustRightInd/>
              <w:snapToGrid/>
              <w:spacing w:line="360" w:lineRule="auto"/>
              <w:ind w:right="-105" w:rightChars="-5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远距离软轴操纵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restart"/>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底盘主要总成</w:t>
            </w:r>
          </w:p>
        </w:tc>
        <w:tc>
          <w:tcPr>
            <w:tcW w:w="3908" w:type="dxa"/>
            <w:gridSpan w:val="2"/>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离合器</w:t>
            </w:r>
          </w:p>
        </w:tc>
        <w:tc>
          <w:tcPr>
            <w:tcW w:w="4850"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单片、干式、膜片弹簧；液压操纵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p>
        </w:tc>
        <w:tc>
          <w:tcPr>
            <w:tcW w:w="3908" w:type="dxa"/>
            <w:gridSpan w:val="2"/>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传动轴</w:t>
            </w:r>
          </w:p>
        </w:tc>
        <w:tc>
          <w:tcPr>
            <w:tcW w:w="4850"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双节开式、三个万向节传动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7"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pStyle w:val="226"/>
              <w:keepNext w:val="0"/>
              <w:keepLines w:val="0"/>
              <w:pageBreakBefore w:val="0"/>
              <w:kinsoku/>
              <w:wordWrap/>
              <w:overflowPunct/>
              <w:topLinePunct w:val="0"/>
              <w:bidi w:val="0"/>
              <w:adjustRightInd/>
              <w:snapToGrid/>
              <w:spacing w:line="360" w:lineRule="auto"/>
              <w:ind w:right="-105" w:firstLine="0" w:firstLineChars="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驱动桥</w:t>
            </w:r>
          </w:p>
        </w:tc>
        <w:tc>
          <w:tcPr>
            <w:tcW w:w="4850"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整体式、冲压焊接桥壳、半浮式半轴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前轴</w:t>
            </w:r>
          </w:p>
        </w:tc>
        <w:tc>
          <w:tcPr>
            <w:tcW w:w="4850"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sz w:val="24"/>
                <w:szCs w:val="24"/>
                <w:highlight w:val="none"/>
              </w:rPr>
              <w:t>断开式前轴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悬 架</w:t>
            </w:r>
          </w:p>
        </w:tc>
        <w:tc>
          <w:tcPr>
            <w:tcW w:w="4850" w:type="dxa"/>
            <w:vAlign w:val="center"/>
          </w:tcPr>
          <w:p>
            <w:pPr>
              <w:pStyle w:val="227"/>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扭杆弹簧独立悬挂/钢板弹簧非独立悬架悬挂(-/5)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3908" w:type="dxa"/>
            <w:gridSpan w:val="2"/>
            <w:vAlign w:val="center"/>
          </w:tcPr>
          <w:p>
            <w:pPr>
              <w:pStyle w:val="226"/>
              <w:keepNext w:val="0"/>
              <w:keepLines w:val="0"/>
              <w:pageBreakBefore w:val="0"/>
              <w:kinsoku/>
              <w:wordWrap/>
              <w:overflowPunct/>
              <w:topLinePunct w:val="0"/>
              <w:bidi w:val="0"/>
              <w:adjustRightInd/>
              <w:snapToGrid/>
              <w:spacing w:line="360" w:lineRule="auto"/>
              <w:ind w:right="-105" w:firstLine="0" w:firstLineChars="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转向系型式</w:t>
            </w:r>
          </w:p>
        </w:tc>
        <w:tc>
          <w:tcPr>
            <w:tcW w:w="4850" w:type="dxa"/>
            <w:vAlign w:val="center"/>
          </w:tcPr>
          <w:p>
            <w:pPr>
              <w:pStyle w:val="227"/>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电助力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1843" w:type="dxa"/>
            <w:vMerge w:val="restart"/>
            <w:vAlign w:val="center"/>
          </w:tcPr>
          <w:p>
            <w:pPr>
              <w:pStyle w:val="226"/>
              <w:keepNext w:val="0"/>
              <w:keepLines w:val="0"/>
              <w:pageBreakBefore w:val="0"/>
              <w:kinsoku/>
              <w:wordWrap/>
              <w:overflowPunct/>
              <w:topLinePunct w:val="0"/>
              <w:bidi w:val="0"/>
              <w:adjustRightInd/>
              <w:snapToGrid/>
              <w:spacing w:line="360" w:lineRule="auto"/>
              <w:ind w:right="-105" w:firstLine="0" w:firstLineChars="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制动系</w:t>
            </w:r>
          </w:p>
        </w:tc>
        <w:tc>
          <w:tcPr>
            <w:tcW w:w="2065"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行车制动系</w:t>
            </w:r>
          </w:p>
        </w:tc>
        <w:tc>
          <w:tcPr>
            <w:tcW w:w="4850"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液压双回路前盘后鼓式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1843" w:type="dxa"/>
            <w:vMerge w:val="continue"/>
            <w:vAlign w:val="center"/>
          </w:tcPr>
          <w:p>
            <w:pPr>
              <w:pStyle w:val="226"/>
              <w:keepNext w:val="0"/>
              <w:keepLines w:val="0"/>
              <w:pageBreakBefore w:val="0"/>
              <w:kinsoku/>
              <w:wordWrap/>
              <w:overflowPunct/>
              <w:topLinePunct w:val="0"/>
              <w:bidi w:val="0"/>
              <w:adjustRightInd/>
              <w:snapToGrid/>
              <w:spacing w:line="360" w:lineRule="auto"/>
              <w:ind w:right="-105" w:firstLine="0" w:firstLineChars="0"/>
              <w:textAlignment w:val="auto"/>
              <w:rPr>
                <w:rFonts w:hint="eastAsia" w:asciiTheme="minorEastAsia" w:hAnsiTheme="minorEastAsia" w:eastAsiaTheme="minorEastAsia" w:cstheme="minorEastAsia"/>
                <w:sz w:val="24"/>
                <w:szCs w:val="24"/>
                <w:highlight w:val="none"/>
              </w:rPr>
            </w:pPr>
          </w:p>
        </w:tc>
        <w:tc>
          <w:tcPr>
            <w:tcW w:w="2065" w:type="dxa"/>
            <w:vAlign w:val="center"/>
          </w:tcPr>
          <w:p>
            <w:pPr>
              <w:pStyle w:val="227"/>
              <w:keepNext w:val="0"/>
              <w:keepLines w:val="0"/>
              <w:pageBreakBefore w:val="0"/>
              <w:numPr>
                <w:ilvl w:val="0"/>
                <w:numId w:val="0"/>
              </w:numPr>
              <w:kinsoku/>
              <w:wordWrap/>
              <w:overflowPunct/>
              <w:topLinePunct w:val="0"/>
              <w:bidi w:val="0"/>
              <w:adjustRightInd/>
              <w:snapToGrid/>
              <w:spacing w:line="360" w:lineRule="auto"/>
              <w:ind w:right="-105"/>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（ABS）和EBD系统</w:t>
            </w:r>
          </w:p>
        </w:tc>
        <w:tc>
          <w:tcPr>
            <w:tcW w:w="4850" w:type="dxa"/>
            <w:vAlign w:val="center"/>
          </w:tcPr>
          <w:p>
            <w:pPr>
              <w:pStyle w:val="227"/>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安装电子四通道前后轮交叉控制防抱死制动系统（ABS）和EBD系统。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1843" w:type="dxa"/>
            <w:vMerge w:val="continue"/>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center"/>
              <w:textAlignment w:val="auto"/>
              <w:rPr>
                <w:rFonts w:hint="eastAsia" w:asciiTheme="minorEastAsia" w:hAnsiTheme="minorEastAsia" w:eastAsiaTheme="minorEastAsia" w:cstheme="minorEastAsia"/>
                <w:sz w:val="24"/>
                <w:szCs w:val="24"/>
                <w:highlight w:val="none"/>
              </w:rPr>
            </w:pPr>
          </w:p>
        </w:tc>
        <w:tc>
          <w:tcPr>
            <w:tcW w:w="2065"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驻车制动系</w:t>
            </w:r>
          </w:p>
        </w:tc>
        <w:tc>
          <w:tcPr>
            <w:tcW w:w="4850" w:type="dxa"/>
            <w:vAlign w:val="center"/>
          </w:tcPr>
          <w:p>
            <w:pPr>
              <w:pStyle w:val="227"/>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机械式手动作用于后轮鼓式制动器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restart"/>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底盘主要</w:t>
            </w:r>
          </w:p>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总成</w:t>
            </w:r>
          </w:p>
        </w:tc>
        <w:tc>
          <w:tcPr>
            <w:tcW w:w="1843" w:type="dxa"/>
            <w:vMerge w:val="restart"/>
            <w:vAlign w:val="center"/>
          </w:tcPr>
          <w:p>
            <w:pPr>
              <w:pStyle w:val="226"/>
              <w:keepNext w:val="0"/>
              <w:keepLines w:val="0"/>
              <w:pageBreakBefore w:val="0"/>
              <w:kinsoku/>
              <w:wordWrap/>
              <w:overflowPunct/>
              <w:topLinePunct w:val="0"/>
              <w:bidi w:val="0"/>
              <w:adjustRightInd/>
              <w:snapToGrid/>
              <w:spacing w:line="360" w:lineRule="auto"/>
              <w:ind w:right="-105" w:firstLine="42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车轮与轮胎</w:t>
            </w:r>
          </w:p>
        </w:tc>
        <w:tc>
          <w:tcPr>
            <w:tcW w:w="2065"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型    式</w:t>
            </w:r>
          </w:p>
        </w:tc>
        <w:tc>
          <w:tcPr>
            <w:tcW w:w="4850" w:type="dxa"/>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辐板式车轮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1843" w:type="dxa"/>
            <w:vMerge w:val="continue"/>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p>
        </w:tc>
        <w:tc>
          <w:tcPr>
            <w:tcW w:w="2065"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轮辋规格</w:t>
            </w:r>
          </w:p>
        </w:tc>
        <w:tc>
          <w:tcPr>
            <w:tcW w:w="4850" w:type="dxa"/>
            <w:vAlign w:val="center"/>
          </w:tcPr>
          <w:p>
            <w:pPr>
              <w:pStyle w:val="227"/>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15×6J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p>
        </w:tc>
        <w:tc>
          <w:tcPr>
            <w:tcW w:w="1843" w:type="dxa"/>
            <w:vMerge w:val="continue"/>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p>
        </w:tc>
        <w:tc>
          <w:tcPr>
            <w:tcW w:w="2065"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轮胎规格</w:t>
            </w:r>
          </w:p>
        </w:tc>
        <w:tc>
          <w:tcPr>
            <w:tcW w:w="4850" w:type="dxa"/>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195/70R15C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1843" w:type="dxa"/>
            <w:vMerge w:val="continue"/>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p>
        </w:tc>
        <w:tc>
          <w:tcPr>
            <w:tcW w:w="2065"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轮胎充气压力</w:t>
            </w:r>
          </w:p>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（前/后）（KPa）</w:t>
            </w:r>
          </w:p>
        </w:tc>
        <w:tc>
          <w:tcPr>
            <w:tcW w:w="4850" w:type="dxa"/>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350/450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1843" w:type="dxa"/>
            <w:vMerge w:val="restart"/>
            <w:vAlign w:val="center"/>
          </w:tcPr>
          <w:p>
            <w:pPr>
              <w:pStyle w:val="226"/>
              <w:keepNext w:val="0"/>
              <w:keepLines w:val="0"/>
              <w:pageBreakBefore w:val="0"/>
              <w:kinsoku/>
              <w:wordWrap/>
              <w:overflowPunct/>
              <w:topLinePunct w:val="0"/>
              <w:bidi w:val="0"/>
              <w:adjustRightInd/>
              <w:snapToGrid/>
              <w:spacing w:line="360" w:lineRule="auto"/>
              <w:ind w:right="-105" w:firstLine="42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电气设备</w:t>
            </w:r>
          </w:p>
        </w:tc>
        <w:tc>
          <w:tcPr>
            <w:tcW w:w="2065"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型    式</w:t>
            </w:r>
          </w:p>
        </w:tc>
        <w:tc>
          <w:tcPr>
            <w:tcW w:w="4850" w:type="dxa"/>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整车电压12V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1843" w:type="dxa"/>
            <w:vMerge w:val="continue"/>
            <w:vAlign w:val="center"/>
          </w:tcPr>
          <w:p>
            <w:pPr>
              <w:pStyle w:val="226"/>
              <w:keepNext w:val="0"/>
              <w:keepLines w:val="0"/>
              <w:pageBreakBefore w:val="0"/>
              <w:kinsoku/>
              <w:wordWrap/>
              <w:overflowPunct/>
              <w:topLinePunct w:val="0"/>
              <w:bidi w:val="0"/>
              <w:adjustRightInd/>
              <w:snapToGrid/>
              <w:spacing w:line="360" w:lineRule="auto"/>
              <w:ind w:right="-105" w:firstLine="420"/>
              <w:jc w:val="center"/>
              <w:textAlignment w:val="auto"/>
              <w:rPr>
                <w:rFonts w:hint="eastAsia" w:asciiTheme="minorEastAsia" w:hAnsiTheme="minorEastAsia" w:eastAsiaTheme="minorEastAsia" w:cstheme="minorEastAsia"/>
                <w:sz w:val="24"/>
                <w:szCs w:val="24"/>
                <w:highlight w:val="none"/>
              </w:rPr>
            </w:pPr>
          </w:p>
        </w:tc>
        <w:tc>
          <w:tcPr>
            <w:tcW w:w="2065"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蓄 电 池</w:t>
            </w:r>
          </w:p>
        </w:tc>
        <w:tc>
          <w:tcPr>
            <w:tcW w:w="4850" w:type="dxa"/>
            <w:vAlign w:val="center"/>
          </w:tcPr>
          <w:p>
            <w:pPr>
              <w:pStyle w:val="227"/>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1只，60Ah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1843" w:type="dxa"/>
            <w:vMerge w:val="continue"/>
            <w:vAlign w:val="center"/>
          </w:tcPr>
          <w:p>
            <w:pPr>
              <w:pStyle w:val="226"/>
              <w:keepNext w:val="0"/>
              <w:keepLines w:val="0"/>
              <w:pageBreakBefore w:val="0"/>
              <w:kinsoku/>
              <w:wordWrap/>
              <w:overflowPunct/>
              <w:topLinePunct w:val="0"/>
              <w:bidi w:val="0"/>
              <w:adjustRightInd/>
              <w:snapToGrid/>
              <w:spacing w:line="360" w:lineRule="auto"/>
              <w:ind w:right="-105" w:firstLine="420"/>
              <w:jc w:val="center"/>
              <w:textAlignment w:val="auto"/>
              <w:rPr>
                <w:rFonts w:hint="eastAsia" w:asciiTheme="minorEastAsia" w:hAnsiTheme="minorEastAsia" w:eastAsiaTheme="minorEastAsia" w:cstheme="minorEastAsia"/>
                <w:sz w:val="24"/>
                <w:szCs w:val="24"/>
                <w:highlight w:val="none"/>
              </w:rPr>
            </w:pPr>
          </w:p>
        </w:tc>
        <w:tc>
          <w:tcPr>
            <w:tcW w:w="2065"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起 动 机</w:t>
            </w:r>
          </w:p>
        </w:tc>
        <w:tc>
          <w:tcPr>
            <w:tcW w:w="4850" w:type="dxa"/>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12V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1843" w:type="dxa"/>
            <w:vMerge w:val="continue"/>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center"/>
              <w:textAlignment w:val="auto"/>
              <w:rPr>
                <w:rFonts w:hint="eastAsia" w:asciiTheme="minorEastAsia" w:hAnsiTheme="minorEastAsia" w:eastAsiaTheme="minorEastAsia" w:cstheme="minorEastAsia"/>
                <w:sz w:val="24"/>
                <w:szCs w:val="24"/>
                <w:highlight w:val="none"/>
              </w:rPr>
            </w:pPr>
          </w:p>
        </w:tc>
        <w:tc>
          <w:tcPr>
            <w:tcW w:w="2065" w:type="dxa"/>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发 电 机</w:t>
            </w:r>
          </w:p>
        </w:tc>
        <w:tc>
          <w:tcPr>
            <w:tcW w:w="4850" w:type="dxa"/>
            <w:vAlign w:val="center"/>
          </w:tcPr>
          <w:p>
            <w:pPr>
              <w:pStyle w:val="227"/>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≥90A/14V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restart"/>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其他配置</w:t>
            </w:r>
          </w:p>
        </w:tc>
        <w:tc>
          <w:tcPr>
            <w:tcW w:w="8758" w:type="dxa"/>
            <w:gridSpan w:val="3"/>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Cs/>
                <w:sz w:val="24"/>
                <w:szCs w:val="24"/>
                <w:highlight w:val="none"/>
              </w:rPr>
              <w:t>置物盒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020" w:type="dxa"/>
            <w:vMerge w:val="continue"/>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8758" w:type="dxa"/>
            <w:gridSpan w:val="3"/>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Cs/>
                <w:sz w:val="24"/>
                <w:szCs w:val="24"/>
                <w:highlight w:val="none"/>
              </w:rPr>
              <w:t>电动窗、遥控锁、电动后视镜</w:t>
            </w:r>
          </w:p>
        </w:tc>
      </w:tr>
    </w:tbl>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b/>
          <w:sz w:val="24"/>
          <w:szCs w:val="24"/>
          <w:highlight w:val="none"/>
          <w:shd w:val="pct10" w:color="auto" w:fill="FFFFFF"/>
        </w:rPr>
      </w:pPr>
    </w:p>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b/>
          <w:sz w:val="24"/>
          <w:szCs w:val="24"/>
          <w:highlight w:val="none"/>
          <w:shd w:val="pct10" w:color="auto" w:fill="FFFFFF"/>
        </w:rPr>
      </w:pPr>
      <w:r>
        <w:rPr>
          <w:rFonts w:hint="eastAsia" w:asciiTheme="minorEastAsia" w:hAnsiTheme="minorEastAsia" w:eastAsiaTheme="minorEastAsia" w:cstheme="minorEastAsia"/>
          <w:b/>
          <w:sz w:val="24"/>
          <w:szCs w:val="24"/>
          <w:highlight w:val="none"/>
          <w:shd w:val="pct10" w:color="auto" w:fill="FFFFFF"/>
        </w:rPr>
        <w:t>二、救护车配置表</w:t>
      </w:r>
    </w:p>
    <w:tbl>
      <w:tblPr>
        <w:tblStyle w:val="40"/>
        <w:tblW w:w="9807" w:type="dxa"/>
        <w:jc w:val="center"/>
        <w:tblLayout w:type="fixed"/>
        <w:tblCellMar>
          <w:top w:w="0" w:type="dxa"/>
          <w:left w:w="108" w:type="dxa"/>
          <w:bottom w:w="0" w:type="dxa"/>
          <w:right w:w="108" w:type="dxa"/>
        </w:tblCellMar>
      </w:tblPr>
      <w:tblGrid>
        <w:gridCol w:w="1118"/>
        <w:gridCol w:w="7512"/>
        <w:gridCol w:w="1177"/>
      </w:tblGrid>
      <w:tr>
        <w:tblPrEx>
          <w:tblCellMar>
            <w:top w:w="0" w:type="dxa"/>
            <w:left w:w="108" w:type="dxa"/>
            <w:bottom w:w="0" w:type="dxa"/>
            <w:right w:w="108" w:type="dxa"/>
          </w:tblCellMar>
        </w:tblPrEx>
        <w:trPr>
          <w:trHeight w:val="634" w:hRule="atLeast"/>
          <w:jc w:val="center"/>
        </w:trPr>
        <w:tc>
          <w:tcPr>
            <w:tcW w:w="11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分项</w:t>
            </w:r>
          </w:p>
        </w:tc>
        <w:tc>
          <w:tcPr>
            <w:tcW w:w="7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功能及特点</w:t>
            </w:r>
          </w:p>
        </w:tc>
        <w:tc>
          <w:tcPr>
            <w:tcW w:w="1177" w:type="dxa"/>
            <w:tcBorders>
              <w:top w:val="single" w:color="auto" w:sz="4" w:space="0"/>
              <w:left w:val="nil"/>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数量</w:t>
            </w:r>
          </w:p>
        </w:tc>
      </w:tr>
      <w:tr>
        <w:tblPrEx>
          <w:tblCellMar>
            <w:top w:w="0" w:type="dxa"/>
            <w:left w:w="108" w:type="dxa"/>
            <w:bottom w:w="0" w:type="dxa"/>
            <w:right w:w="108" w:type="dxa"/>
          </w:tblCellMar>
        </w:tblPrEx>
        <w:trPr>
          <w:cantSplit/>
          <w:trHeight w:val="467" w:hRule="atLeast"/>
          <w:jc w:val="center"/>
        </w:trPr>
        <w:tc>
          <w:tcPr>
            <w:tcW w:w="111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警灯警报</w:t>
            </w:r>
          </w:p>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系统</w:t>
            </w:r>
          </w:p>
        </w:tc>
        <w:tc>
          <w:tcPr>
            <w:tcW w:w="7512"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lang w:eastAsia="zh-CN"/>
              </w:rPr>
            </w:pPr>
            <w:r>
              <w:rPr>
                <w:rFonts w:hint="eastAsia" w:asciiTheme="minorEastAsia" w:hAnsiTheme="minorEastAsia" w:eastAsiaTheme="minorEastAsia" w:cstheme="minorEastAsia"/>
                <w:kern w:val="0"/>
                <w:sz w:val="24"/>
                <w:szCs w:val="24"/>
                <w:highlight w:val="none"/>
              </w:rPr>
              <w:t>车</w:t>
            </w:r>
            <w:r>
              <w:rPr>
                <w:rFonts w:hint="eastAsia" w:asciiTheme="minorEastAsia" w:hAnsiTheme="minorEastAsia" w:eastAsiaTheme="minorEastAsia" w:cstheme="minorEastAsia"/>
                <w:color w:val="000000"/>
                <w:kern w:val="0"/>
                <w:sz w:val="24"/>
                <w:szCs w:val="24"/>
                <w:highlight w:val="none"/>
              </w:rPr>
              <w:t>顶</w:t>
            </w:r>
            <w:r>
              <w:rPr>
                <w:rFonts w:hint="eastAsia" w:asciiTheme="minorEastAsia" w:hAnsiTheme="minorEastAsia" w:eastAsiaTheme="minorEastAsia" w:cstheme="minorEastAsia"/>
                <w:color w:val="000000"/>
                <w:kern w:val="0"/>
                <w:sz w:val="24"/>
                <w:szCs w:val="24"/>
                <w:highlight w:val="none"/>
                <w:lang w:eastAsia="zh-CN"/>
              </w:rPr>
              <w:t>前端安装长排式</w:t>
            </w:r>
            <w:r>
              <w:rPr>
                <w:rFonts w:hint="eastAsia" w:asciiTheme="minorEastAsia" w:hAnsiTheme="minorEastAsia" w:eastAsiaTheme="minorEastAsia" w:cstheme="minorEastAsia"/>
                <w:color w:val="000000"/>
                <w:kern w:val="0"/>
                <w:sz w:val="24"/>
                <w:szCs w:val="24"/>
                <w:highlight w:val="none"/>
              </w:rPr>
              <w:t>蓝色</w:t>
            </w:r>
            <w:r>
              <w:rPr>
                <w:rFonts w:hint="eastAsia" w:asciiTheme="minorEastAsia" w:hAnsiTheme="minorEastAsia" w:eastAsiaTheme="minorEastAsia" w:cstheme="minorEastAsia"/>
                <w:color w:val="000000"/>
                <w:kern w:val="0"/>
                <w:sz w:val="24"/>
                <w:szCs w:val="24"/>
                <w:highlight w:val="none"/>
                <w:lang w:val="en-US" w:eastAsia="zh-CN"/>
              </w:rPr>
              <w:t>LED警灯</w:t>
            </w:r>
            <w:r>
              <w:rPr>
                <w:rFonts w:hint="eastAsia" w:asciiTheme="minorEastAsia" w:hAnsiTheme="minorEastAsia" w:eastAsiaTheme="minorEastAsia" w:cstheme="minorEastAsia"/>
                <w:color w:val="000000"/>
                <w:kern w:val="0"/>
                <w:sz w:val="24"/>
                <w:szCs w:val="24"/>
                <w:highlight w:val="none"/>
              </w:rPr>
              <w:t>（100W扩音喇叭）</w:t>
            </w:r>
            <w:r>
              <w:rPr>
                <w:rFonts w:hint="eastAsia" w:asciiTheme="minorEastAsia" w:hAnsiTheme="minorEastAsia" w:eastAsiaTheme="minorEastAsia" w:cstheme="minorEastAsia"/>
                <w:color w:val="000000"/>
                <w:kern w:val="0"/>
                <w:sz w:val="24"/>
                <w:szCs w:val="24"/>
                <w:highlight w:val="none"/>
                <w:lang w:eastAsia="zh-CN"/>
              </w:rPr>
              <w:t>，两侧安装长方形蓝色爆闪和白色爆闪</w:t>
            </w:r>
            <w:r>
              <w:rPr>
                <w:rFonts w:hint="eastAsia" w:asciiTheme="minorEastAsia" w:hAnsiTheme="minorEastAsia" w:eastAsiaTheme="minorEastAsia" w:cstheme="minorEastAsia"/>
                <w:color w:val="000000"/>
                <w:kern w:val="0"/>
                <w:sz w:val="24"/>
                <w:szCs w:val="24"/>
                <w:highlight w:val="none"/>
              </w:rPr>
              <w:t>LED警灯</w:t>
            </w:r>
            <w:r>
              <w:rPr>
                <w:rFonts w:hint="eastAsia" w:asciiTheme="minorEastAsia" w:hAnsiTheme="minorEastAsia" w:eastAsiaTheme="minorEastAsia" w:cstheme="minorEastAsia"/>
                <w:color w:val="000000"/>
                <w:kern w:val="0"/>
                <w:sz w:val="24"/>
                <w:szCs w:val="24"/>
                <w:highlight w:val="none"/>
                <w:lang w:eastAsia="zh-CN"/>
              </w:rPr>
              <w:t>各</w:t>
            </w:r>
            <w:r>
              <w:rPr>
                <w:rFonts w:hint="eastAsia" w:asciiTheme="minorEastAsia" w:hAnsiTheme="minorEastAsia" w:eastAsiaTheme="minorEastAsia" w:cstheme="minorEastAsia"/>
                <w:color w:val="000000"/>
                <w:kern w:val="0"/>
                <w:sz w:val="24"/>
                <w:szCs w:val="24"/>
                <w:highlight w:val="none"/>
                <w:lang w:val="en-US" w:eastAsia="zh-CN"/>
              </w:rPr>
              <w:t>2个</w:t>
            </w:r>
            <w:r>
              <w:rPr>
                <w:rFonts w:hint="eastAsia" w:asciiTheme="minorEastAsia" w:hAnsiTheme="minorEastAsia" w:eastAsiaTheme="minorEastAsia" w:cstheme="minorEastAsia"/>
                <w:color w:val="000000"/>
                <w:kern w:val="0"/>
                <w:sz w:val="24"/>
                <w:szCs w:val="24"/>
                <w:highlight w:val="none"/>
                <w:lang w:eastAsia="zh-CN"/>
              </w:rPr>
              <w:t>。</w:t>
            </w:r>
          </w:p>
        </w:tc>
        <w:tc>
          <w:tcPr>
            <w:tcW w:w="117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lang w:eastAsia="zh-CN"/>
              </w:rPr>
            </w:pPr>
            <w:r>
              <w:rPr>
                <w:rFonts w:hint="eastAsia" w:asciiTheme="minorEastAsia" w:hAnsiTheme="minorEastAsia" w:eastAsiaTheme="minorEastAsia" w:cstheme="minorEastAsia"/>
                <w:sz w:val="24"/>
                <w:szCs w:val="24"/>
                <w:highlight w:val="none"/>
              </w:rPr>
              <w:t>驾驶</w:t>
            </w:r>
            <w:r>
              <w:rPr>
                <w:rFonts w:hint="eastAsia" w:asciiTheme="minorEastAsia" w:hAnsiTheme="minorEastAsia" w:eastAsiaTheme="minorEastAsia" w:cstheme="minorEastAsia"/>
                <w:kern w:val="0"/>
                <w:sz w:val="24"/>
                <w:szCs w:val="24"/>
                <w:highlight w:val="none"/>
              </w:rPr>
              <w:t>舱</w:t>
            </w:r>
            <w:r>
              <w:rPr>
                <w:rFonts w:hint="eastAsia" w:asciiTheme="minorEastAsia" w:hAnsiTheme="minorEastAsia" w:eastAsiaTheme="minorEastAsia" w:cstheme="minorEastAsia"/>
                <w:sz w:val="24"/>
                <w:szCs w:val="24"/>
                <w:highlight w:val="none"/>
              </w:rPr>
              <w:t>内安装</w:t>
            </w:r>
            <w:r>
              <w:rPr>
                <w:rFonts w:hint="eastAsia" w:asciiTheme="minorEastAsia" w:hAnsiTheme="minorEastAsia" w:eastAsiaTheme="minorEastAsia" w:cstheme="minorEastAsia"/>
                <w:color w:val="000000"/>
                <w:kern w:val="0"/>
                <w:sz w:val="24"/>
                <w:szCs w:val="24"/>
                <w:highlight w:val="none"/>
              </w:rPr>
              <w:t>警灯、警报控制器及喊话器</w:t>
            </w:r>
            <w:r>
              <w:rPr>
                <w:rFonts w:hint="eastAsia" w:asciiTheme="minorEastAsia" w:hAnsiTheme="minorEastAsia" w:eastAsiaTheme="minorEastAsia" w:cstheme="minorEastAsia"/>
                <w:color w:val="000000"/>
                <w:kern w:val="0"/>
                <w:sz w:val="24"/>
                <w:szCs w:val="24"/>
                <w:highlight w:val="none"/>
                <w:lang w:eastAsia="zh-CN"/>
              </w:rPr>
              <w:t>。</w:t>
            </w:r>
          </w:p>
        </w:tc>
        <w:tc>
          <w:tcPr>
            <w:tcW w:w="117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中隔板</w:t>
            </w:r>
          </w:p>
        </w:tc>
        <w:tc>
          <w:tcPr>
            <w:tcW w:w="7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中隔板</w:t>
            </w:r>
            <w:r>
              <w:rPr>
                <w:rFonts w:hint="eastAsia" w:asciiTheme="minorEastAsia" w:hAnsiTheme="minorEastAsia" w:eastAsiaTheme="minorEastAsia" w:cstheme="minorEastAsia"/>
                <w:kern w:val="0"/>
                <w:sz w:val="24"/>
                <w:szCs w:val="24"/>
                <w:highlight w:val="none"/>
              </w:rPr>
              <w:t>：</w:t>
            </w:r>
            <w:r>
              <w:rPr>
                <w:rFonts w:hint="eastAsia" w:asciiTheme="minorEastAsia" w:hAnsiTheme="minorEastAsia" w:eastAsiaTheme="minorEastAsia" w:cstheme="minorEastAsia"/>
                <w:sz w:val="24"/>
                <w:szCs w:val="24"/>
                <w:highlight w:val="none"/>
              </w:rPr>
              <w:t>将驾驶</w:t>
            </w:r>
            <w:r>
              <w:rPr>
                <w:rFonts w:hint="eastAsia" w:asciiTheme="minorEastAsia" w:hAnsiTheme="minorEastAsia" w:eastAsiaTheme="minorEastAsia" w:cstheme="minorEastAsia"/>
                <w:kern w:val="0"/>
                <w:sz w:val="24"/>
                <w:szCs w:val="24"/>
                <w:highlight w:val="none"/>
              </w:rPr>
              <w:t>舱</w:t>
            </w:r>
            <w:r>
              <w:rPr>
                <w:rFonts w:hint="eastAsia" w:asciiTheme="minorEastAsia" w:hAnsiTheme="minorEastAsia" w:eastAsiaTheme="minorEastAsia" w:cstheme="minorEastAsia"/>
                <w:sz w:val="24"/>
                <w:szCs w:val="24"/>
                <w:highlight w:val="none"/>
              </w:rPr>
              <w:t>与</w:t>
            </w:r>
            <w:r>
              <w:rPr>
                <w:rFonts w:hint="eastAsia" w:asciiTheme="minorEastAsia" w:hAnsiTheme="minorEastAsia" w:eastAsiaTheme="minorEastAsia" w:cstheme="minorEastAsia"/>
                <w:kern w:val="0"/>
                <w:sz w:val="24"/>
                <w:szCs w:val="24"/>
                <w:highlight w:val="none"/>
              </w:rPr>
              <w:t>医疗舱和驾驶舱完全封闭隔开，隔板采用阻燃性复合板材美观整洁，易清洁，耐腐蚀，环保。</w:t>
            </w:r>
          </w:p>
        </w:tc>
        <w:tc>
          <w:tcPr>
            <w:tcW w:w="117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pStyle w:val="22"/>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观察窗</w:t>
            </w:r>
            <w:r>
              <w:rPr>
                <w:rFonts w:hint="eastAsia" w:asciiTheme="minorEastAsia" w:hAnsiTheme="minorEastAsia" w:eastAsiaTheme="minorEastAsia" w:cstheme="minorEastAsia"/>
                <w:kern w:val="0"/>
                <w:sz w:val="24"/>
                <w:szCs w:val="24"/>
                <w:highlight w:val="none"/>
              </w:rPr>
              <w:t>：</w:t>
            </w:r>
            <w:r>
              <w:rPr>
                <w:rFonts w:hint="eastAsia" w:asciiTheme="minorEastAsia" w:hAnsiTheme="minorEastAsia" w:eastAsiaTheme="minorEastAsia" w:cstheme="minorEastAsia"/>
                <w:sz w:val="24"/>
                <w:szCs w:val="24"/>
                <w:highlight w:val="none"/>
              </w:rPr>
              <w:t>中</w:t>
            </w:r>
            <w:r>
              <w:rPr>
                <w:rFonts w:hint="eastAsia" w:asciiTheme="minorEastAsia" w:hAnsiTheme="minorEastAsia" w:eastAsiaTheme="minorEastAsia" w:cstheme="minorEastAsia"/>
                <w:kern w:val="0"/>
                <w:sz w:val="24"/>
                <w:szCs w:val="24"/>
                <w:highlight w:val="none"/>
              </w:rPr>
              <w:t>隔板上安装可视玻璃推拉窗</w:t>
            </w:r>
            <w:r>
              <w:rPr>
                <w:rFonts w:hint="eastAsia" w:asciiTheme="minorEastAsia" w:hAnsiTheme="minorEastAsia" w:eastAsiaTheme="minorEastAsia" w:cstheme="minorEastAsia"/>
                <w:kern w:val="0"/>
                <w:sz w:val="24"/>
                <w:szCs w:val="24"/>
                <w:highlight w:val="none"/>
                <w:lang w:eastAsia="zh-CN"/>
              </w:rPr>
              <w:t>。</w:t>
            </w:r>
          </w:p>
        </w:tc>
        <w:tc>
          <w:tcPr>
            <w:tcW w:w="117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restart"/>
            <w:tcBorders>
              <w:top w:val="single" w:color="auto" w:sz="4" w:space="0"/>
              <w:left w:val="single" w:color="auto" w:sz="4" w:space="0"/>
              <w:right w:val="single" w:color="auto" w:sz="4" w:space="0"/>
            </w:tcBorders>
            <w:vAlign w:val="center"/>
          </w:tcPr>
          <w:p>
            <w:pPr>
              <w:pStyle w:val="22"/>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医疗舱</w:t>
            </w:r>
          </w:p>
        </w:tc>
        <w:tc>
          <w:tcPr>
            <w:tcW w:w="7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kern w:val="0"/>
                <w:sz w:val="24"/>
                <w:szCs w:val="24"/>
                <w:highlight w:val="none"/>
              </w:rPr>
              <w:t>医疗舱地板：采用阻燃性防水、耐磨的地毯材料，下铺高强度、防腐、抗菌的竹筋板，平整、可清洗。</w:t>
            </w:r>
          </w:p>
        </w:tc>
        <w:tc>
          <w:tcPr>
            <w:tcW w:w="1177"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continue"/>
            <w:tcBorders>
              <w:top w:val="single" w:color="auto" w:sz="4" w:space="0"/>
              <w:left w:val="single" w:color="auto" w:sz="4" w:space="0"/>
              <w:right w:val="single" w:color="auto" w:sz="4" w:space="0"/>
            </w:tcBorders>
            <w:vAlign w:val="center"/>
          </w:tcPr>
          <w:p>
            <w:pPr>
              <w:pStyle w:val="22"/>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lang w:eastAsia="zh-CN"/>
              </w:rPr>
            </w:pPr>
            <w:r>
              <w:rPr>
                <w:rFonts w:hint="eastAsia" w:asciiTheme="minorEastAsia" w:hAnsiTheme="minorEastAsia" w:eastAsiaTheme="minorEastAsia" w:cstheme="minorEastAsia"/>
                <w:kern w:val="0"/>
                <w:sz w:val="24"/>
                <w:szCs w:val="24"/>
                <w:highlight w:val="none"/>
              </w:rPr>
              <w:t>医疗舱内饰：采用阻燃性、可清洗材料</w:t>
            </w:r>
            <w:r>
              <w:rPr>
                <w:rFonts w:hint="eastAsia" w:asciiTheme="minorEastAsia" w:hAnsiTheme="minorEastAsia" w:eastAsiaTheme="minorEastAsia" w:cstheme="minorEastAsia"/>
                <w:kern w:val="0"/>
                <w:sz w:val="24"/>
                <w:szCs w:val="24"/>
                <w:highlight w:val="none"/>
                <w:lang w:eastAsia="zh-CN"/>
              </w:rPr>
              <w:t>。</w:t>
            </w:r>
          </w:p>
        </w:tc>
        <w:tc>
          <w:tcPr>
            <w:tcW w:w="1177"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continue"/>
            <w:tcBorders>
              <w:top w:val="single" w:color="auto" w:sz="4" w:space="0"/>
              <w:left w:val="single" w:color="auto" w:sz="4" w:space="0"/>
              <w:right w:val="single" w:color="auto" w:sz="4" w:space="0"/>
            </w:tcBorders>
            <w:vAlign w:val="center"/>
          </w:tcPr>
          <w:p>
            <w:pPr>
              <w:pStyle w:val="22"/>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kern w:val="0"/>
                <w:sz w:val="24"/>
                <w:szCs w:val="24"/>
                <w:highlight w:val="none"/>
              </w:rPr>
              <w:t>医疗器械柜、急救设备储物柜、电气柜：采用阻燃性复合板材美观整洁，易清洁，耐腐蚀，环保，并进行无尖角设计。满足医疗设备置放。</w:t>
            </w:r>
          </w:p>
        </w:tc>
        <w:tc>
          <w:tcPr>
            <w:tcW w:w="1177"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continue"/>
            <w:tcBorders>
              <w:top w:val="single" w:color="auto" w:sz="4" w:space="0"/>
              <w:left w:val="single" w:color="auto" w:sz="4" w:space="0"/>
              <w:bottom w:val="single" w:color="auto" w:sz="4" w:space="0"/>
              <w:right w:val="single" w:color="auto" w:sz="4" w:space="0"/>
            </w:tcBorders>
            <w:vAlign w:val="center"/>
          </w:tcPr>
          <w:p>
            <w:pPr>
              <w:pStyle w:val="22"/>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医疗舱车窗为半透明设计，便于保障病人隐私。</w:t>
            </w:r>
          </w:p>
        </w:tc>
        <w:tc>
          <w:tcPr>
            <w:tcW w:w="1177" w:type="dxa"/>
            <w:tcBorders>
              <w:top w:val="nil"/>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5套</w:t>
            </w:r>
          </w:p>
        </w:tc>
      </w:tr>
      <w:tr>
        <w:tblPrEx>
          <w:tblCellMar>
            <w:top w:w="0" w:type="dxa"/>
            <w:left w:w="108" w:type="dxa"/>
            <w:bottom w:w="0" w:type="dxa"/>
            <w:right w:w="108" w:type="dxa"/>
          </w:tblCellMar>
        </w:tblPrEx>
        <w:trPr>
          <w:cantSplit/>
          <w:trHeight w:val="312" w:hRule="atLeast"/>
          <w:jc w:val="center"/>
        </w:trPr>
        <w:tc>
          <w:tcPr>
            <w:tcW w:w="11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医疗舱换气系统</w:t>
            </w: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医疗舱顶部安装有排气扇，静止状态下，可提升医疗舱内换气次数，保证舱内空气清洁。</w:t>
            </w:r>
          </w:p>
        </w:tc>
        <w:tc>
          <w:tcPr>
            <w:tcW w:w="117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担架系统</w:t>
            </w: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dstrike/>
                <w:color w:val="FF0000"/>
                <w:sz w:val="24"/>
                <w:szCs w:val="24"/>
                <w:highlight w:val="none"/>
                <w:lang w:eastAsia="zh-CN"/>
              </w:rPr>
            </w:pPr>
            <w:r>
              <w:rPr>
                <w:rFonts w:hint="eastAsia" w:asciiTheme="minorEastAsia" w:hAnsiTheme="minorEastAsia" w:eastAsiaTheme="minorEastAsia" w:cstheme="minorEastAsia"/>
                <w:sz w:val="24"/>
                <w:szCs w:val="24"/>
                <w:highlight w:val="none"/>
              </w:rPr>
              <w:t>车内配备一副</w:t>
            </w:r>
            <w:r>
              <w:rPr>
                <w:rFonts w:hint="eastAsia" w:asciiTheme="minorEastAsia" w:hAnsiTheme="minorEastAsia" w:eastAsiaTheme="minorEastAsia" w:cstheme="minorEastAsia"/>
                <w:sz w:val="24"/>
                <w:szCs w:val="24"/>
                <w:highlight w:val="none"/>
                <w:lang w:eastAsia="zh-CN"/>
              </w:rPr>
              <w:t>四</w:t>
            </w:r>
            <w:r>
              <w:rPr>
                <w:rFonts w:hint="eastAsia" w:asciiTheme="minorEastAsia" w:hAnsiTheme="minorEastAsia" w:eastAsiaTheme="minorEastAsia" w:cstheme="minorEastAsia"/>
                <w:sz w:val="24"/>
                <w:szCs w:val="24"/>
                <w:highlight w:val="none"/>
              </w:rPr>
              <w:t>折软担架</w:t>
            </w:r>
            <w:r>
              <w:rPr>
                <w:rFonts w:hint="eastAsia" w:asciiTheme="minorEastAsia" w:hAnsiTheme="minorEastAsia" w:eastAsiaTheme="minorEastAsia" w:cstheme="minorEastAsia"/>
                <w:sz w:val="24"/>
                <w:szCs w:val="24"/>
                <w:highlight w:val="none"/>
                <w:lang w:eastAsia="zh-CN"/>
              </w:rPr>
              <w:t>。</w:t>
            </w:r>
          </w:p>
        </w:tc>
        <w:tc>
          <w:tcPr>
            <w:tcW w:w="117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供氧系统</w:t>
            </w: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氧气瓶：配备</w:t>
            </w:r>
            <w:r>
              <w:rPr>
                <w:rFonts w:hint="eastAsia" w:asciiTheme="minorEastAsia" w:hAnsiTheme="minorEastAsia" w:eastAsiaTheme="minorEastAsia" w:cstheme="minorEastAsia"/>
                <w:sz w:val="24"/>
                <w:szCs w:val="24"/>
                <w:highlight w:val="none"/>
                <w:lang w:val="en-US" w:eastAsia="zh-CN"/>
              </w:rPr>
              <w:t>10</w:t>
            </w:r>
            <w:r>
              <w:rPr>
                <w:rFonts w:hint="eastAsia" w:asciiTheme="minorEastAsia" w:hAnsiTheme="minorEastAsia" w:eastAsiaTheme="minorEastAsia" w:cstheme="minorEastAsia"/>
                <w:sz w:val="24"/>
                <w:szCs w:val="24"/>
                <w:highlight w:val="none"/>
              </w:rPr>
              <w:t>升钢质</w:t>
            </w:r>
            <w:r>
              <w:rPr>
                <w:rFonts w:hint="eastAsia" w:asciiTheme="minorEastAsia" w:hAnsiTheme="minorEastAsia" w:eastAsiaTheme="minorEastAsia" w:cstheme="minorEastAsia"/>
                <w:sz w:val="24"/>
                <w:szCs w:val="24"/>
                <w:highlight w:val="none"/>
                <w:lang w:eastAsia="zh-CN"/>
              </w:rPr>
              <w:t>。</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个</w:t>
            </w:r>
          </w:p>
        </w:tc>
      </w:tr>
      <w:tr>
        <w:tblPrEx>
          <w:tblCellMar>
            <w:top w:w="0" w:type="dxa"/>
            <w:left w:w="108" w:type="dxa"/>
            <w:bottom w:w="0" w:type="dxa"/>
            <w:right w:w="108" w:type="dxa"/>
          </w:tblCellMar>
        </w:tblPrEx>
        <w:trPr>
          <w:cantSplit/>
          <w:trHeight w:val="312" w:hRule="atLeast"/>
          <w:jc w:val="center"/>
        </w:trPr>
        <w:tc>
          <w:tcPr>
            <w:tcW w:w="11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配置湿化瓶、压力阀，便于护理病人。</w:t>
            </w:r>
          </w:p>
        </w:tc>
        <w:tc>
          <w:tcPr>
            <w:tcW w:w="1177" w:type="dxa"/>
            <w:tcBorders>
              <w:top w:val="single" w:color="auto" w:sz="4" w:space="0"/>
              <w:left w:val="nil"/>
              <w:bottom w:val="nil"/>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lang w:eastAsia="zh-CN"/>
              </w:rPr>
            </w:pPr>
            <w:r>
              <w:rPr>
                <w:rFonts w:hint="eastAsia" w:asciiTheme="minorEastAsia" w:hAnsiTheme="minorEastAsia" w:eastAsiaTheme="minorEastAsia" w:cstheme="minorEastAsia"/>
                <w:kern w:val="0"/>
                <w:sz w:val="24"/>
                <w:szCs w:val="24"/>
                <w:highlight w:val="none"/>
                <w:lang w:eastAsia="zh-CN"/>
              </w:rPr>
              <w:t>除颤仪</w:t>
            </w:r>
          </w:p>
        </w:tc>
        <w:tc>
          <w:tcPr>
            <w:tcW w:w="7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Theme="minorEastAsia" w:hAnsiTheme="minorEastAsia" w:eastAsiaTheme="minorEastAsia" w:cstheme="minorEastAsia"/>
                <w:kern w:val="0"/>
                <w:sz w:val="24"/>
                <w:szCs w:val="24"/>
                <w:highlight w:val="none"/>
                <w:lang w:val="en-US" w:eastAsia="zh-CN"/>
              </w:rPr>
              <w:t>AED自动除颤仪。参数要求见附件4</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1套</w:t>
            </w:r>
          </w:p>
        </w:tc>
      </w:tr>
      <w:tr>
        <w:tblPrEx>
          <w:tblCellMar>
            <w:top w:w="0" w:type="dxa"/>
            <w:left w:w="108" w:type="dxa"/>
            <w:bottom w:w="0" w:type="dxa"/>
            <w:right w:w="108" w:type="dxa"/>
          </w:tblCellMar>
        </w:tblPrEx>
        <w:trPr>
          <w:cantSplit/>
          <w:trHeight w:val="312" w:hRule="atLeast"/>
          <w:jc w:val="center"/>
        </w:trPr>
        <w:tc>
          <w:tcPr>
            <w:tcW w:w="1118"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医疗舱电气系统</w:t>
            </w:r>
          </w:p>
        </w:tc>
        <w:tc>
          <w:tcPr>
            <w:tcW w:w="7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加装的电气系统与底盘车的电气设备系统分开，各个电气系统独立控制。</w:t>
            </w:r>
          </w:p>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1.医疗舱内医疗救护设施的供电系统；</w:t>
            </w:r>
          </w:p>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2.照明、标志灯和警示装置的供电系统。</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套</w:t>
            </w:r>
          </w:p>
        </w:tc>
      </w:tr>
      <w:tr>
        <w:tblPrEx>
          <w:tblCellMar>
            <w:top w:w="0" w:type="dxa"/>
            <w:left w:w="108" w:type="dxa"/>
            <w:bottom w:w="0" w:type="dxa"/>
            <w:right w:w="108" w:type="dxa"/>
          </w:tblCellMar>
        </w:tblPrEx>
        <w:trPr>
          <w:cantSplit/>
          <w:trHeight w:val="312" w:hRule="atLeast"/>
          <w:jc w:val="center"/>
        </w:trPr>
        <w:tc>
          <w:tcPr>
            <w:tcW w:w="11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220V正弦逆变电源系统：输出功率</w:t>
            </w:r>
            <w:r>
              <w:rPr>
                <w:rFonts w:hint="eastAsia" w:asciiTheme="minorEastAsia" w:hAnsiTheme="minorEastAsia" w:eastAsiaTheme="minorEastAsia" w:cstheme="minorEastAsia"/>
                <w:sz w:val="24"/>
                <w:szCs w:val="24"/>
                <w:highlight w:val="none"/>
                <w:lang w:val="en-US" w:eastAsia="zh-CN"/>
              </w:rPr>
              <w:t>600</w:t>
            </w:r>
            <w:r>
              <w:rPr>
                <w:rFonts w:hint="eastAsia" w:asciiTheme="minorEastAsia" w:hAnsiTheme="minorEastAsia" w:eastAsiaTheme="minorEastAsia" w:cstheme="minorEastAsia"/>
                <w:sz w:val="24"/>
                <w:szCs w:val="24"/>
                <w:highlight w:val="none"/>
              </w:rPr>
              <w:t>W，设有独立开关、接地漏电保护装置以及过载保护装置，为车载医疗设备预留至少2个交流插座、2个直流插座。可保证医疗仪器供电需求。</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医疗舱顶部需安装2个LED照明灯，病人区域照度可不低于300lx。</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中隔板上部安装紫外线消毒灯，具有定时控制功能。</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空调系统</w:t>
            </w: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驾驶舱与医疗舱各自配置独立可调的冷气空调，配备车顶两侧的双风道的人性化设计，可为病人提供舒适的医疗环境</w:t>
            </w:r>
            <w:r>
              <w:rPr>
                <w:rFonts w:hint="eastAsia" w:asciiTheme="minorEastAsia" w:hAnsiTheme="minorEastAsia" w:eastAsiaTheme="minorEastAsia" w:cstheme="minorEastAsia"/>
                <w:sz w:val="24"/>
                <w:szCs w:val="24"/>
                <w:highlight w:val="none"/>
                <w:lang w:eastAsia="zh-CN"/>
              </w:rPr>
              <w:t>。</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配置独立可调的水暖加热系统，安全、环保 。</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通讯系统</w:t>
            </w: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配备前后对讲系统，便于前后舱人员的交流和沟通。</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乘员座椅</w:t>
            </w: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为乘护人员配置了配备</w:t>
            </w:r>
            <w:r>
              <w:rPr>
                <w:rFonts w:hint="eastAsia" w:asciiTheme="minorEastAsia" w:hAnsiTheme="minorEastAsia" w:eastAsiaTheme="minorEastAsia" w:cstheme="minorEastAsia"/>
                <w:sz w:val="24"/>
                <w:szCs w:val="24"/>
                <w:highlight w:val="none"/>
                <w:lang w:val="en-US" w:eastAsia="zh-CN"/>
              </w:rPr>
              <w:t>6</w:t>
            </w:r>
            <w:r>
              <w:rPr>
                <w:rFonts w:hint="eastAsia" w:asciiTheme="minorEastAsia" w:hAnsiTheme="minorEastAsia" w:eastAsiaTheme="minorEastAsia" w:cstheme="minorEastAsia"/>
                <w:sz w:val="24"/>
                <w:szCs w:val="24"/>
                <w:highlight w:val="none"/>
              </w:rPr>
              <w:t>个乘护人员座椅，驾驶舱均配3点式安全带；医疗舱中，均配2点式安全带，</w:t>
            </w:r>
            <w:r>
              <w:rPr>
                <w:rFonts w:hint="eastAsia" w:asciiTheme="minorEastAsia" w:hAnsiTheme="minorEastAsia" w:eastAsiaTheme="minorEastAsia" w:cstheme="minorEastAsia"/>
                <w:sz w:val="24"/>
                <w:szCs w:val="24"/>
                <w:highlight w:val="none"/>
                <w:lang w:eastAsia="zh-CN"/>
              </w:rPr>
              <w:t>正前方配备</w:t>
            </w:r>
            <w:r>
              <w:rPr>
                <w:rFonts w:hint="eastAsia" w:asciiTheme="minorEastAsia" w:hAnsiTheme="minorEastAsia" w:eastAsiaTheme="minorEastAsia" w:cstheme="minorEastAsia"/>
                <w:sz w:val="24"/>
                <w:szCs w:val="24"/>
                <w:highlight w:val="none"/>
                <w:lang w:val="en-US" w:eastAsia="zh-CN"/>
              </w:rPr>
              <w:t>1个朝后就坐的座椅，</w:t>
            </w:r>
            <w:r>
              <w:rPr>
                <w:rFonts w:hint="eastAsia" w:asciiTheme="minorEastAsia" w:hAnsiTheme="minorEastAsia" w:eastAsiaTheme="minorEastAsia" w:cstheme="minorEastAsia"/>
                <w:sz w:val="24"/>
                <w:szCs w:val="24"/>
                <w:highlight w:val="none"/>
              </w:rPr>
              <w:t>右侧方配备3个朝前就坐的座椅，方便医护人员对患者采取相应的急救措施。</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6套</w:t>
            </w:r>
          </w:p>
        </w:tc>
      </w:tr>
      <w:tr>
        <w:tblPrEx>
          <w:tblCellMar>
            <w:top w:w="0" w:type="dxa"/>
            <w:left w:w="108" w:type="dxa"/>
            <w:bottom w:w="0" w:type="dxa"/>
            <w:right w:w="108" w:type="dxa"/>
          </w:tblCellMar>
        </w:tblPrEx>
        <w:trPr>
          <w:cantSplit/>
          <w:trHeight w:val="312" w:hRule="atLeast"/>
          <w:jc w:val="center"/>
        </w:trPr>
        <w:tc>
          <w:tcPr>
            <w:tcW w:w="1118"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lang w:eastAsia="zh-CN"/>
              </w:rPr>
            </w:pPr>
            <w:r>
              <w:rPr>
                <w:rFonts w:hint="eastAsia" w:asciiTheme="minorEastAsia" w:hAnsiTheme="minorEastAsia" w:eastAsiaTheme="minorEastAsia" w:cstheme="minorEastAsia"/>
                <w:kern w:val="0"/>
                <w:sz w:val="24"/>
                <w:szCs w:val="24"/>
                <w:highlight w:val="none"/>
                <w:lang w:eastAsia="zh-CN"/>
              </w:rPr>
              <w:t>车载一体化体检设备</w:t>
            </w: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配置及参数要求见附件</w:t>
            </w:r>
            <w:r>
              <w:rPr>
                <w:rFonts w:hint="eastAsia" w:asciiTheme="minorEastAsia" w:hAnsiTheme="minorEastAsia" w:eastAsiaTheme="minorEastAsia" w:cstheme="minorEastAsia"/>
                <w:sz w:val="24"/>
                <w:szCs w:val="24"/>
                <w:highlight w:val="none"/>
                <w:lang w:val="en-US" w:eastAsia="zh-CN"/>
              </w:rPr>
              <w:t>2</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配置及参数要求见附件2</w:t>
            </w:r>
          </w:p>
        </w:tc>
      </w:tr>
      <w:tr>
        <w:tblPrEx>
          <w:tblCellMar>
            <w:top w:w="0" w:type="dxa"/>
            <w:left w:w="108" w:type="dxa"/>
            <w:bottom w:w="0" w:type="dxa"/>
            <w:right w:w="108" w:type="dxa"/>
          </w:tblCellMar>
        </w:tblPrEx>
        <w:trPr>
          <w:cantSplit/>
          <w:trHeight w:val="312" w:hRule="atLeast"/>
          <w:jc w:val="center"/>
        </w:trPr>
        <w:tc>
          <w:tcPr>
            <w:tcW w:w="1118"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lang w:eastAsia="zh-CN"/>
              </w:rPr>
            </w:pPr>
            <w:r>
              <w:rPr>
                <w:rFonts w:hint="eastAsia" w:asciiTheme="minorEastAsia" w:hAnsiTheme="minorEastAsia" w:eastAsiaTheme="minorEastAsia" w:cstheme="minorEastAsia"/>
                <w:kern w:val="0"/>
                <w:sz w:val="24"/>
                <w:szCs w:val="24"/>
                <w:highlight w:val="none"/>
                <w:lang w:eastAsia="zh-CN"/>
              </w:rPr>
              <w:t>急救箱</w:t>
            </w: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配置清单见附件</w:t>
            </w:r>
            <w:r>
              <w:rPr>
                <w:rFonts w:hint="eastAsia" w:asciiTheme="minorEastAsia" w:hAnsiTheme="minorEastAsia" w:eastAsiaTheme="minorEastAsia" w:cstheme="minorEastAsia"/>
                <w:sz w:val="24"/>
                <w:szCs w:val="24"/>
                <w:highlight w:val="none"/>
                <w:lang w:val="en-US" w:eastAsia="zh-CN"/>
              </w:rPr>
              <w:t>3</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1套</w:t>
            </w:r>
          </w:p>
        </w:tc>
      </w:tr>
      <w:tr>
        <w:tblPrEx>
          <w:tblCellMar>
            <w:top w:w="0" w:type="dxa"/>
            <w:left w:w="108" w:type="dxa"/>
            <w:bottom w:w="0" w:type="dxa"/>
            <w:right w:w="108" w:type="dxa"/>
          </w:tblCellMar>
        </w:tblPrEx>
        <w:trPr>
          <w:cantSplit/>
          <w:trHeight w:val="312" w:hRule="atLeast"/>
          <w:jc w:val="center"/>
        </w:trPr>
        <w:tc>
          <w:tcPr>
            <w:tcW w:w="1118"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其它配置</w:t>
            </w: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驾驶舱与医疗舱各1个1Kg灭火器，便于使用全方位保护。</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2个</w:t>
            </w:r>
          </w:p>
        </w:tc>
      </w:tr>
      <w:tr>
        <w:tblPrEx>
          <w:tblCellMar>
            <w:top w:w="0" w:type="dxa"/>
            <w:left w:w="108" w:type="dxa"/>
            <w:bottom w:w="0" w:type="dxa"/>
            <w:right w:w="108" w:type="dxa"/>
          </w:tblCellMar>
        </w:tblPrEx>
        <w:trPr>
          <w:cantSplit/>
          <w:trHeight w:val="312" w:hRule="atLeast"/>
          <w:jc w:val="center"/>
        </w:trPr>
        <w:tc>
          <w:tcPr>
            <w:tcW w:w="11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医疗舱配置了污物桶，便于医疗垃圾的集中存放。</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1个</w:t>
            </w:r>
          </w:p>
        </w:tc>
      </w:tr>
      <w:tr>
        <w:tblPrEx>
          <w:tblCellMar>
            <w:top w:w="0" w:type="dxa"/>
            <w:left w:w="108" w:type="dxa"/>
            <w:bottom w:w="0" w:type="dxa"/>
            <w:right w:w="108" w:type="dxa"/>
          </w:tblCellMar>
        </w:tblPrEx>
        <w:trPr>
          <w:cantSplit/>
          <w:trHeight w:val="312" w:hRule="atLeast"/>
          <w:jc w:val="center"/>
        </w:trPr>
        <w:tc>
          <w:tcPr>
            <w:tcW w:w="11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车顶安装配2个挂钩的车载输液器，保证乘员在行车过程中活动安全。</w:t>
            </w:r>
          </w:p>
        </w:tc>
        <w:tc>
          <w:tcPr>
            <w:tcW w:w="1177" w:type="dxa"/>
            <w:tcBorders>
              <w:top w:val="single" w:color="auto" w:sz="4" w:space="0"/>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1套</w:t>
            </w:r>
          </w:p>
        </w:tc>
      </w:tr>
      <w:tr>
        <w:tblPrEx>
          <w:tblCellMar>
            <w:top w:w="0" w:type="dxa"/>
            <w:left w:w="108" w:type="dxa"/>
            <w:bottom w:w="0" w:type="dxa"/>
            <w:right w:w="108" w:type="dxa"/>
          </w:tblCellMar>
        </w:tblPrEx>
        <w:trPr>
          <w:cantSplit/>
          <w:trHeight w:val="312" w:hRule="atLeast"/>
          <w:jc w:val="center"/>
        </w:trPr>
        <w:tc>
          <w:tcPr>
            <w:tcW w:w="11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kern w:val="0"/>
                <w:sz w:val="24"/>
                <w:szCs w:val="24"/>
                <w:highlight w:val="none"/>
              </w:rPr>
            </w:pPr>
          </w:p>
        </w:tc>
        <w:tc>
          <w:tcPr>
            <w:tcW w:w="7512" w:type="dxa"/>
            <w:tcBorders>
              <w:top w:val="single" w:color="auto" w:sz="4" w:space="0"/>
              <w:left w:val="single" w:color="auto" w:sz="4" w:space="0"/>
              <w:bottom w:val="single" w:color="auto" w:sz="4" w:space="0"/>
              <w:right w:val="single" w:color="auto" w:sz="4" w:space="0"/>
            </w:tcBorders>
            <w:vAlign w:val="center"/>
          </w:tcPr>
          <w:p>
            <w:pPr>
              <w:pStyle w:val="226"/>
              <w:keepNext w:val="0"/>
              <w:keepLines w:val="0"/>
              <w:pageBreakBefore w:val="0"/>
              <w:kinsoku/>
              <w:wordWrap/>
              <w:overflowPunct/>
              <w:topLinePunct w:val="0"/>
              <w:bidi w:val="0"/>
              <w:adjustRightInd/>
              <w:snapToGrid/>
              <w:spacing w:line="360" w:lineRule="auto"/>
              <w:ind w:right="-105" w:firstLine="0" w:firstLine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医疗舱后顶部配置了后射灯，保障了夜间病人上下车的安全。</w:t>
            </w:r>
          </w:p>
        </w:tc>
        <w:tc>
          <w:tcPr>
            <w:tcW w:w="1177" w:type="dxa"/>
            <w:tcBorders>
              <w:top w:val="nil"/>
              <w:left w:val="nil"/>
              <w:bottom w:val="single" w:color="auto" w:sz="4" w:space="0"/>
              <w:right w:val="single" w:color="auto" w:sz="4" w:space="0"/>
            </w:tcBorders>
            <w:vAlign w:val="center"/>
          </w:tcPr>
          <w:p>
            <w:pPr>
              <w:pStyle w:val="228"/>
              <w:keepNext w:val="0"/>
              <w:keepLines w:val="0"/>
              <w:pageBreakBefore w:val="0"/>
              <w:numPr>
                <w:ilvl w:val="0"/>
                <w:numId w:val="0"/>
              </w:numPr>
              <w:kinsoku/>
              <w:wordWrap/>
              <w:overflowPunct/>
              <w:topLinePunct w:val="0"/>
              <w:bidi w:val="0"/>
              <w:adjustRightInd/>
              <w:snapToGrid/>
              <w:spacing w:line="360" w:lineRule="auto"/>
              <w:ind w:right="-105"/>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1个</w:t>
            </w:r>
          </w:p>
        </w:tc>
      </w:tr>
    </w:tbl>
    <w:p>
      <w:pPr>
        <w:pStyle w:val="225"/>
        <w:keepNext w:val="0"/>
        <w:keepLines w:val="0"/>
        <w:pageBreakBefore w:val="0"/>
        <w:kinsoku/>
        <w:wordWrap/>
        <w:overflowPunct/>
        <w:topLinePunct w:val="0"/>
        <w:bidi w:val="0"/>
        <w:adjustRightInd/>
        <w:snapToGrid/>
        <w:spacing w:line="360" w:lineRule="auto"/>
        <w:ind w:firstLine="0" w:firstLineChars="0"/>
        <w:textAlignment w:val="auto"/>
        <w:rPr>
          <w:rFonts w:hint="eastAsia" w:asciiTheme="minorEastAsia" w:hAnsiTheme="minorEastAsia" w:eastAsiaTheme="minorEastAsia" w:cstheme="minorEastAsia"/>
          <w:b/>
          <w:sz w:val="24"/>
          <w:szCs w:val="24"/>
          <w:highlight w:val="none"/>
        </w:rPr>
      </w:pPr>
    </w:p>
    <w:p>
      <w:pPr>
        <w:pStyle w:val="225"/>
        <w:keepNext w:val="0"/>
        <w:keepLines w:val="0"/>
        <w:pageBreakBefore w:val="0"/>
        <w:kinsoku/>
        <w:wordWrap/>
        <w:overflowPunct/>
        <w:topLinePunct w:val="0"/>
        <w:bidi w:val="0"/>
        <w:adjustRightInd/>
        <w:snapToGrid/>
        <w:spacing w:line="360" w:lineRule="auto"/>
        <w:ind w:firstLine="0" w:firstLineChars="0"/>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附件2</w:t>
      </w:r>
    </w:p>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rPr>
        <w:t>车载</w:t>
      </w:r>
      <w:r>
        <w:rPr>
          <w:rFonts w:hint="eastAsia" w:asciiTheme="minorEastAsia" w:hAnsiTheme="minorEastAsia" w:eastAsiaTheme="minorEastAsia" w:cstheme="minorEastAsia"/>
          <w:b/>
          <w:bCs/>
          <w:sz w:val="24"/>
          <w:szCs w:val="24"/>
          <w:highlight w:val="none"/>
          <w:lang w:eastAsia="zh-CN"/>
        </w:rPr>
        <w:t>一体化体检</w:t>
      </w:r>
      <w:r>
        <w:rPr>
          <w:rFonts w:hint="eastAsia" w:asciiTheme="minorEastAsia" w:hAnsiTheme="minorEastAsia" w:eastAsiaTheme="minorEastAsia" w:cstheme="minorEastAsia"/>
          <w:b/>
          <w:bCs/>
          <w:sz w:val="24"/>
          <w:szCs w:val="24"/>
          <w:highlight w:val="none"/>
        </w:rPr>
        <w:t>设备配置与参数</w:t>
      </w:r>
    </w:p>
    <w:tbl>
      <w:tblPr>
        <w:tblStyle w:val="40"/>
        <w:tblW w:w="9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8"/>
        <w:gridCol w:w="1486"/>
        <w:gridCol w:w="709"/>
        <w:gridCol w:w="6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348" w:type="dxa"/>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FF0000"/>
                <w:sz w:val="24"/>
                <w:szCs w:val="24"/>
                <w:highlight w:val="none"/>
              </w:rPr>
              <w:t xml:space="preserve"> </w:t>
            </w:r>
            <w:r>
              <w:rPr>
                <w:rFonts w:hint="eastAsia" w:asciiTheme="minorEastAsia" w:hAnsiTheme="minorEastAsia" w:eastAsiaTheme="minorEastAsia" w:cstheme="minorEastAsia"/>
                <w:color w:val="000000"/>
                <w:sz w:val="24"/>
                <w:szCs w:val="24"/>
                <w:highlight w:val="none"/>
              </w:rPr>
              <w:t>配置名称</w:t>
            </w: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配置清单</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数量</w:t>
            </w:r>
          </w:p>
        </w:tc>
        <w:tc>
          <w:tcPr>
            <w:tcW w:w="629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产品详细描述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348" w:type="dxa"/>
            <w:vMerge w:val="restart"/>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车载智能一体化体检设备</w:t>
            </w: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体检设备配置</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1套</w:t>
            </w:r>
          </w:p>
        </w:tc>
        <w:tc>
          <w:tcPr>
            <w:tcW w:w="6296" w:type="dxa"/>
            <w:vAlign w:val="top"/>
          </w:tcPr>
          <w:p>
            <w:pPr>
              <w:keepNext w:val="0"/>
              <w:keepLines w:val="0"/>
              <w:pageBreakBefore w:val="0"/>
              <w:numPr>
                <w:ilvl w:val="0"/>
                <w:numId w:val="0"/>
              </w:numPr>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全自动血压计</w:t>
            </w:r>
            <w:r>
              <w:rPr>
                <w:rFonts w:hint="eastAsia" w:asciiTheme="minorEastAsia" w:hAnsiTheme="minorEastAsia" w:eastAsiaTheme="minorEastAsia" w:cstheme="minorEastAsia"/>
                <w:sz w:val="24"/>
                <w:szCs w:val="24"/>
                <w:highlight w:val="none"/>
                <w:lang w:eastAsia="zh-CN"/>
              </w:rPr>
              <w:t>；</w:t>
            </w:r>
          </w:p>
          <w:p>
            <w:pPr>
              <w:keepNext w:val="0"/>
              <w:keepLines w:val="0"/>
              <w:pageBreakBefore w:val="0"/>
              <w:numPr>
                <w:ilvl w:val="0"/>
                <w:numId w:val="6"/>
              </w:numPr>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脉搏血氧检测仪</w:t>
            </w:r>
            <w:r>
              <w:rPr>
                <w:rFonts w:hint="eastAsia" w:asciiTheme="minorEastAsia" w:hAnsiTheme="minorEastAsia" w:eastAsiaTheme="minorEastAsia" w:cstheme="minorEastAsia"/>
                <w:sz w:val="24"/>
                <w:szCs w:val="24"/>
                <w:highlight w:val="none"/>
                <w:lang w:eastAsia="zh-CN"/>
              </w:rPr>
              <w:t>；</w:t>
            </w:r>
          </w:p>
          <w:p>
            <w:pPr>
              <w:keepNext w:val="0"/>
              <w:keepLines w:val="0"/>
              <w:pageBreakBefore w:val="0"/>
              <w:numPr>
                <w:ilvl w:val="0"/>
                <w:numId w:val="6"/>
              </w:numPr>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快速心电图检测仪</w:t>
            </w:r>
            <w:r>
              <w:rPr>
                <w:rFonts w:hint="eastAsia" w:asciiTheme="minorEastAsia" w:hAnsiTheme="minorEastAsia" w:eastAsiaTheme="minorEastAsia" w:cstheme="minorEastAsia"/>
                <w:sz w:val="24"/>
                <w:szCs w:val="24"/>
                <w:highlight w:val="none"/>
                <w:lang w:eastAsia="zh-CN"/>
              </w:rPr>
              <w:t>；</w:t>
            </w:r>
          </w:p>
          <w:p>
            <w:pPr>
              <w:keepNext w:val="0"/>
              <w:keepLines w:val="0"/>
              <w:pageBreakBefore w:val="0"/>
              <w:numPr>
                <w:ilvl w:val="0"/>
                <w:numId w:val="6"/>
              </w:numPr>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智能血糖仪</w:t>
            </w:r>
            <w:r>
              <w:rPr>
                <w:rFonts w:hint="eastAsia" w:asciiTheme="minorEastAsia" w:hAnsiTheme="minorEastAsia" w:eastAsiaTheme="minorEastAsia" w:cstheme="minorEastAsia"/>
                <w:sz w:val="24"/>
                <w:szCs w:val="24"/>
                <w:highlight w:val="none"/>
                <w:lang w:eastAsia="zh-CN"/>
              </w:rPr>
              <w:t>；</w:t>
            </w:r>
          </w:p>
          <w:p>
            <w:pPr>
              <w:keepNext w:val="0"/>
              <w:keepLines w:val="0"/>
              <w:pageBreakBefore w:val="0"/>
              <w:numPr>
                <w:ilvl w:val="0"/>
                <w:numId w:val="0"/>
              </w:numPr>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以上设备必须配备数据传输通讯接口，使检测数据通过有线和无线数据传输，提供通讯协议和数据解析协议。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8" w:type="dxa"/>
            <w:vMerge w:val="continue"/>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工控电脑</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1套</w:t>
            </w:r>
          </w:p>
        </w:tc>
        <w:tc>
          <w:tcPr>
            <w:tcW w:w="6296" w:type="dxa"/>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sz w:val="24"/>
                <w:szCs w:val="24"/>
                <w:highlight w:val="none"/>
              </w:rPr>
              <w:t>1.工业控制电脑，windows操作系统，能够实现更大的数据承载和功能运用。必须提供</w:t>
            </w:r>
            <w:r>
              <w:rPr>
                <w:rFonts w:hint="eastAsia" w:asciiTheme="minorEastAsia" w:hAnsiTheme="minorEastAsia" w:eastAsiaTheme="minorEastAsia" w:cstheme="minorEastAsia"/>
                <w:sz w:val="24"/>
                <w:szCs w:val="24"/>
                <w:highlight w:val="none"/>
                <w:lang w:eastAsia="zh-CN"/>
              </w:rPr>
              <w:t>有效的</w:t>
            </w:r>
            <w:r>
              <w:rPr>
                <w:rFonts w:hint="eastAsia" w:asciiTheme="minorEastAsia" w:hAnsiTheme="minorEastAsia" w:eastAsiaTheme="minorEastAsia" w:cstheme="minorEastAsia"/>
                <w:sz w:val="24"/>
                <w:szCs w:val="24"/>
                <w:highlight w:val="none"/>
              </w:rPr>
              <w:t>第三方机构检测报告</w:t>
            </w:r>
            <w:r>
              <w:rPr>
                <w:rFonts w:hint="eastAsia" w:asciiTheme="minorEastAsia" w:hAnsiTheme="minorEastAsia" w:eastAsiaTheme="minorEastAsia" w:cstheme="minorEastAsia"/>
                <w:sz w:val="24"/>
                <w:szCs w:val="24"/>
                <w:highlight w:val="none"/>
                <w:lang w:eastAsia="zh-CN"/>
              </w:rPr>
              <w:t>复印件并加盖投标人公章</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color w:val="666666"/>
                <w:sz w:val="24"/>
                <w:szCs w:val="24"/>
                <w:highlight w:val="none"/>
              </w:rPr>
              <w:br w:type="textWrapping"/>
            </w:r>
            <w:r>
              <w:rPr>
                <w:rFonts w:hint="eastAsia" w:asciiTheme="minorEastAsia" w:hAnsiTheme="minorEastAsia" w:eastAsiaTheme="minorEastAsia" w:cstheme="minorEastAsia"/>
                <w:color w:val="000000"/>
                <w:sz w:val="24"/>
                <w:szCs w:val="24"/>
                <w:highlight w:val="none"/>
              </w:rPr>
              <w:t>2、Intel Bay Trail-D J1900 2.0GHz~2.41GHz四核低功耗处理器</w:t>
            </w:r>
            <w:r>
              <w:rPr>
                <w:rFonts w:hint="eastAsia" w:asciiTheme="minorEastAsia" w:hAnsiTheme="minorEastAsia" w:eastAsiaTheme="minorEastAsia" w:cstheme="minorEastAsia"/>
                <w:color w:val="000000"/>
                <w:sz w:val="24"/>
                <w:szCs w:val="24"/>
                <w:highlight w:val="none"/>
                <w:lang w:eastAsia="zh-CN"/>
              </w:rPr>
              <w:t>。</w:t>
            </w:r>
            <w:r>
              <w:rPr>
                <w:rFonts w:hint="eastAsia" w:asciiTheme="minorEastAsia" w:hAnsiTheme="minorEastAsia" w:eastAsiaTheme="minorEastAsia" w:cstheme="minorEastAsia"/>
                <w:color w:val="666666"/>
                <w:sz w:val="24"/>
                <w:szCs w:val="24"/>
                <w:highlight w:val="none"/>
              </w:rPr>
              <w:br w:type="textWrapping"/>
            </w:r>
            <w:r>
              <w:rPr>
                <w:rFonts w:hint="eastAsia" w:asciiTheme="minorEastAsia" w:hAnsiTheme="minorEastAsia" w:eastAsiaTheme="minorEastAsia" w:cstheme="minorEastAsia"/>
                <w:color w:val="000000"/>
                <w:sz w:val="24"/>
                <w:szCs w:val="24"/>
                <w:highlight w:val="none"/>
              </w:rPr>
              <w:t>3、支持DDR3L 1600MHz 2GB内存，最大支持8GB。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8" w:type="dxa"/>
            <w:vMerge w:val="continue"/>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触摸操作显示屏</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1套</w:t>
            </w:r>
          </w:p>
        </w:tc>
        <w:tc>
          <w:tcPr>
            <w:tcW w:w="6296" w:type="dxa"/>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rPr>
              <w:t>1.响应速度：≤6ms,具有≥1500nits的超高亮度，触摸面板寿命：≥30000000次以上；无故障运行Tip R≤0.8mm。（提供加盖投标人公章的彩色图片以证明）</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lang w:val="en-US" w:eastAsia="zh-CN"/>
              </w:rPr>
              <w:t xml:space="preserve"> </w:t>
            </w:r>
          </w:p>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2.分辨率：800*600/32位真彩，亮度与对比度：400cd/㎡5000:1，触摸面板平均无故障时间：工业级电阻式触摸面板，20000小时以上无故障运行；数据输出接口：LAN网络接口。</w:t>
            </w:r>
          </w:p>
          <w:p>
            <w:pPr>
              <w:pStyle w:val="2"/>
              <w:ind w:left="0" w:leftChars="0" w:firstLine="0" w:firstLineChars="0"/>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3.触摸操作屏15.6寸。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8" w:type="dxa"/>
            <w:vMerge w:val="continue"/>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身份证读卡器</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1套</w:t>
            </w:r>
          </w:p>
        </w:tc>
        <w:tc>
          <w:tcPr>
            <w:tcW w:w="6296" w:type="dxa"/>
            <w:vAlign w:val="top"/>
          </w:tcPr>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lang w:eastAsia="zh-CN"/>
              </w:rPr>
            </w:pPr>
            <w:r>
              <w:rPr>
                <w:rFonts w:hint="eastAsia" w:asciiTheme="minorEastAsia" w:hAnsiTheme="minorEastAsia" w:eastAsiaTheme="minorEastAsia" w:cstheme="minorEastAsia"/>
                <w:color w:val="000000"/>
                <w:sz w:val="24"/>
                <w:szCs w:val="24"/>
                <w:highlight w:val="none"/>
              </w:rPr>
              <w:t>1.设备类型:二代证读卡器</w:t>
            </w:r>
            <w:r>
              <w:rPr>
                <w:rFonts w:hint="eastAsia" w:asciiTheme="minorEastAsia" w:hAnsiTheme="minorEastAsia" w:eastAsiaTheme="minorEastAsia" w:cstheme="minorEastAsia"/>
                <w:color w:val="000000"/>
                <w:sz w:val="24"/>
                <w:szCs w:val="24"/>
                <w:highlight w:val="none"/>
                <w:lang w:eastAsia="zh-CN"/>
              </w:rPr>
              <w:t>。</w:t>
            </w:r>
          </w:p>
          <w:p>
            <w:pPr>
              <w:keepNext w:val="0"/>
              <w:keepLines w:val="0"/>
              <w:pageBreakBefore w:val="0"/>
              <w:widowControl/>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lang w:val="en-US" w:eastAsia="zh-CN"/>
              </w:rPr>
            </w:pPr>
            <w:r>
              <w:rPr>
                <w:rFonts w:hint="eastAsia" w:asciiTheme="minorEastAsia" w:hAnsiTheme="minorEastAsia" w:eastAsiaTheme="minorEastAsia" w:cstheme="minorEastAsia"/>
                <w:color w:val="000000"/>
                <w:sz w:val="24"/>
                <w:szCs w:val="24"/>
                <w:highlight w:val="none"/>
              </w:rPr>
              <w:t>2.射频技术:符合ISO14443 Type B标准,以及《GA 450-2003台式居民身份证阅读器通用技术要求》、《1GA450-2003台式居民身份证阅读器通用技术要求第一号修改单(草案)》</w:t>
            </w:r>
            <w:r>
              <w:rPr>
                <w:rFonts w:hint="eastAsia" w:asciiTheme="minorEastAsia" w:hAnsiTheme="minorEastAsia" w:eastAsiaTheme="minorEastAsia" w:cstheme="minorEastAsia"/>
                <w:color w:val="000000"/>
                <w:sz w:val="24"/>
                <w:szCs w:val="24"/>
                <w:highlight w:val="none"/>
                <w:lang w:eastAsia="zh-CN"/>
              </w:rPr>
              <w:t>。</w:t>
            </w:r>
            <w:r>
              <w:rPr>
                <w:rFonts w:hint="eastAsia" w:asciiTheme="minorEastAsia" w:hAnsiTheme="minorEastAsia" w:eastAsiaTheme="minorEastAsia" w:cstheme="minorEastAsia"/>
                <w:color w:val="000000"/>
                <w:sz w:val="24"/>
                <w:szCs w:val="24"/>
                <w:highlight w:val="none"/>
                <w:lang w:val="en-US" w:eastAsia="zh-CN"/>
              </w:rPr>
              <w:t xml:space="preserve"> </w:t>
            </w:r>
          </w:p>
          <w:p>
            <w:pPr>
              <w:keepNext w:val="0"/>
              <w:keepLines w:val="0"/>
              <w:pageBreakBefore w:val="0"/>
              <w:widowControl/>
              <w:kinsoku/>
              <w:wordWrap/>
              <w:overflowPunct/>
              <w:topLinePunct w:val="0"/>
              <w:bidi w:val="0"/>
              <w:adjustRightInd/>
              <w:snapToGrid/>
              <w:spacing w:line="360" w:lineRule="auto"/>
              <w:jc w:val="left"/>
              <w:textAlignment w:val="auto"/>
              <w:rPr>
                <w:rFonts w:hint="eastAsia" w:asciiTheme="minorEastAsia" w:hAnsiTheme="minorEastAsia" w:eastAsiaTheme="minorEastAsia" w:cstheme="minorEastAsia"/>
                <w:color w:val="000000"/>
                <w:sz w:val="24"/>
                <w:szCs w:val="24"/>
                <w:highlight w:val="none"/>
                <w:lang w:val="en-US" w:eastAsia="zh-CN"/>
              </w:rPr>
            </w:pPr>
            <w:r>
              <w:rPr>
                <w:rFonts w:hint="eastAsia" w:asciiTheme="minorEastAsia" w:hAnsiTheme="minorEastAsia" w:eastAsiaTheme="minorEastAsia" w:cstheme="minorEastAsia"/>
                <w:color w:val="000000"/>
                <w:sz w:val="24"/>
                <w:szCs w:val="24"/>
                <w:highlight w:val="none"/>
              </w:rPr>
              <w:t>3.操作</w:t>
            </w:r>
            <w:r>
              <w:rPr>
                <w:rFonts w:hint="eastAsia" w:asciiTheme="minorEastAsia" w:hAnsiTheme="minorEastAsia" w:eastAsiaTheme="minorEastAsia" w:cstheme="minorEastAsia"/>
                <w:color w:val="000000"/>
                <w:sz w:val="24"/>
                <w:szCs w:val="24"/>
                <w:highlight w:val="none"/>
                <w:lang w:eastAsia="zh-CN"/>
              </w:rPr>
              <w:t>系统：</w:t>
            </w:r>
            <w:r>
              <w:rPr>
                <w:rFonts w:hint="eastAsia" w:asciiTheme="minorEastAsia" w:hAnsiTheme="minorEastAsia" w:eastAsiaTheme="minorEastAsia" w:cstheme="minorEastAsia"/>
                <w:color w:val="000000"/>
                <w:sz w:val="24"/>
                <w:szCs w:val="24"/>
                <w:highlight w:val="none"/>
              </w:rPr>
              <w:t>WIN98/2000/XP/Win7/NT/UNIX/LINUX/</w:t>
            </w:r>
            <w:r>
              <w:rPr>
                <w:rFonts w:hint="eastAsia" w:asciiTheme="minorEastAsia" w:hAnsiTheme="minorEastAsia" w:eastAsiaTheme="minorEastAsia" w:cstheme="minorEastAsia"/>
                <w:sz w:val="24"/>
                <w:szCs w:val="24"/>
                <w:highlight w:val="none"/>
              </w:rPr>
              <w:fldChar w:fldCharType="begin"/>
            </w:r>
            <w:r>
              <w:rPr>
                <w:rFonts w:hint="eastAsia" w:asciiTheme="minorEastAsia" w:hAnsiTheme="minorEastAsia" w:eastAsiaTheme="minorEastAsia" w:cstheme="minorEastAsia"/>
                <w:sz w:val="24"/>
                <w:szCs w:val="24"/>
                <w:highlight w:val="none"/>
              </w:rPr>
              <w:instrText xml:space="preserve"> HYPERLINK "http://detail.zol.com.cn/cell_phone_index/subcate57_list_s1398_1.html" </w:instrText>
            </w:r>
            <w:r>
              <w:rPr>
                <w:rFonts w:hint="eastAsia" w:asciiTheme="minorEastAsia" w:hAnsiTheme="minorEastAsia" w:eastAsiaTheme="minorEastAsia" w:cstheme="minorEastAsia"/>
                <w:sz w:val="24"/>
                <w:szCs w:val="24"/>
                <w:highlight w:val="none"/>
              </w:rPr>
              <w:fldChar w:fldCharType="separate"/>
            </w:r>
            <w:r>
              <w:rPr>
                <w:rFonts w:hint="eastAsia" w:asciiTheme="minorEastAsia" w:hAnsiTheme="minorEastAsia" w:eastAsiaTheme="minorEastAsia" w:cstheme="minorEastAsia"/>
                <w:color w:val="000000"/>
                <w:sz w:val="24"/>
                <w:szCs w:val="24"/>
                <w:highlight w:val="none"/>
              </w:rPr>
              <w:t>Android</w:t>
            </w:r>
            <w:r>
              <w:rPr>
                <w:rFonts w:hint="eastAsia" w:asciiTheme="minorEastAsia" w:hAnsiTheme="minorEastAsia" w:eastAsiaTheme="minorEastAsia" w:cstheme="minorEastAsia"/>
                <w:color w:val="000000"/>
                <w:sz w:val="24"/>
                <w:szCs w:val="24"/>
                <w:highlight w:val="none"/>
              </w:rPr>
              <w:fldChar w:fldCharType="end"/>
            </w:r>
            <w:r>
              <w:rPr>
                <w:rFonts w:hint="eastAsia" w:asciiTheme="minorEastAsia" w:hAnsiTheme="minorEastAsia" w:eastAsiaTheme="minorEastAsia" w:cstheme="minorEastAsia"/>
                <w:color w:val="000000"/>
                <w:sz w:val="24"/>
                <w:szCs w:val="24"/>
                <w:highlight w:val="none"/>
                <w:lang w:eastAsia="zh-CN"/>
              </w:rPr>
              <w:t>。</w:t>
            </w:r>
            <w:r>
              <w:rPr>
                <w:rFonts w:hint="eastAsia" w:asciiTheme="minorEastAsia" w:hAnsiTheme="minorEastAsia" w:eastAsiaTheme="minorEastAsia" w:cstheme="minorEastAsia"/>
                <w:color w:val="000000"/>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8" w:type="dxa"/>
            <w:vMerge w:val="continue"/>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车载自助体检智能体检设备结构要求</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1套</w:t>
            </w:r>
          </w:p>
        </w:tc>
        <w:tc>
          <w:tcPr>
            <w:tcW w:w="6296" w:type="dxa"/>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b/>
                <w:sz w:val="24"/>
                <w:szCs w:val="24"/>
                <w:highlight w:val="none"/>
                <w:lang w:eastAsia="zh-CN"/>
              </w:rPr>
            </w:pPr>
            <w:r>
              <w:rPr>
                <w:rFonts w:hint="eastAsia" w:asciiTheme="minorEastAsia" w:hAnsiTheme="minorEastAsia" w:eastAsiaTheme="minorEastAsia" w:cstheme="minorEastAsia"/>
                <w:color w:val="000000"/>
                <w:sz w:val="24"/>
                <w:szCs w:val="24"/>
                <w:highlight w:val="none"/>
                <w:lang w:eastAsia="zh-CN"/>
              </w:rPr>
              <w:t>该设备可收藏固定于柜体内，必要时可携带入户使用，提高使用效率。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8" w:type="dxa"/>
            <w:vMerge w:val="continue"/>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心电图数字化网络工作站软件</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1套</w:t>
            </w:r>
          </w:p>
        </w:tc>
        <w:tc>
          <w:tcPr>
            <w:tcW w:w="6296" w:type="dxa"/>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保证心电图检测的稳定性安全性，必须提供车载心电图数字化网络工作站。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4" w:hRule="atLeast"/>
          <w:jc w:val="center"/>
        </w:trPr>
        <w:tc>
          <w:tcPr>
            <w:tcW w:w="1348" w:type="dxa"/>
            <w:vMerge w:val="continue"/>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智能医疗体检车系统</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1套</w:t>
            </w:r>
          </w:p>
        </w:tc>
        <w:tc>
          <w:tcPr>
            <w:tcW w:w="6296" w:type="dxa"/>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1、软件性能要求：可根据用户要求，使用身份证、手机号、社保卡、条形码、IC卡等方式登录。后台具有可选登录方式的列表窗口，体现该条款的所有登录方式。</w:t>
            </w:r>
          </w:p>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2、软件功能模块包括：检测者登记、检测生理数据采集、检测者检测项目进度显示、检查者自助查询台、检测报告管理、查询统计、系统维护、系统升级拓展、系统兼容等。</w:t>
            </w:r>
          </w:p>
          <w:p>
            <w:pPr>
              <w:pStyle w:val="2"/>
              <w:ind w:left="0" w:leftChars="0" w:firstLine="0" w:firstLineChars="0"/>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3.微信端居民个人健康服务系统，用户可以通过微信端查询自己的体检数据。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348" w:type="dxa"/>
            <w:vMerge w:val="restart"/>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p>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p>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软件要求</w:t>
            </w: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信息安全证明</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sz w:val="24"/>
                <w:szCs w:val="24"/>
                <w:highlight w:val="none"/>
              </w:rPr>
              <w:t>1套</w:t>
            </w:r>
          </w:p>
        </w:tc>
        <w:tc>
          <w:tcPr>
            <w:tcW w:w="6296" w:type="dxa"/>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车载智能一体化体检设备</w:t>
            </w:r>
            <w:r>
              <w:rPr>
                <w:rFonts w:hint="eastAsia" w:asciiTheme="minorEastAsia" w:hAnsiTheme="minorEastAsia" w:eastAsiaTheme="minorEastAsia" w:cstheme="minorEastAsia"/>
                <w:sz w:val="24"/>
                <w:szCs w:val="24"/>
                <w:highlight w:val="none"/>
              </w:rPr>
              <w:t>必须通过信息安全测评，并提供</w:t>
            </w:r>
            <w:r>
              <w:rPr>
                <w:rFonts w:hint="eastAsia" w:asciiTheme="minorEastAsia" w:hAnsiTheme="minorEastAsia" w:eastAsiaTheme="minorEastAsia" w:cstheme="minorEastAsia"/>
                <w:sz w:val="24"/>
                <w:szCs w:val="24"/>
                <w:highlight w:val="none"/>
                <w:lang w:eastAsia="zh-CN"/>
              </w:rPr>
              <w:t>有效的</w:t>
            </w:r>
            <w:r>
              <w:rPr>
                <w:rFonts w:hint="eastAsia" w:asciiTheme="minorEastAsia" w:hAnsiTheme="minorEastAsia" w:eastAsiaTheme="minorEastAsia" w:cstheme="minorEastAsia"/>
                <w:sz w:val="24"/>
                <w:szCs w:val="24"/>
                <w:highlight w:val="none"/>
              </w:rPr>
              <w:t>信息安全测评报告</w:t>
            </w:r>
            <w:r>
              <w:rPr>
                <w:rFonts w:hint="eastAsia" w:asciiTheme="minorEastAsia" w:hAnsiTheme="minorEastAsia" w:eastAsiaTheme="minorEastAsia" w:cstheme="minorEastAsia"/>
                <w:sz w:val="24"/>
                <w:szCs w:val="24"/>
                <w:highlight w:val="none"/>
                <w:lang w:eastAsia="zh-CN"/>
              </w:rPr>
              <w:t>复印件并加盖投标人公章</w:t>
            </w:r>
            <w:r>
              <w:rPr>
                <w:rFonts w:hint="eastAsia" w:asciiTheme="minorEastAsia" w:hAnsiTheme="minorEastAsia" w:eastAsiaTheme="minorEastAsia" w:cstheme="minorEastAsia"/>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8" w:type="dxa"/>
            <w:vMerge w:val="continue"/>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福建省基层公卫平台对接和维护</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1套</w:t>
            </w:r>
          </w:p>
        </w:tc>
        <w:tc>
          <w:tcPr>
            <w:tcW w:w="6296" w:type="dxa"/>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对接福建省基层公共卫生平台，并能实现体检数据自动上传，提供双方系统已经对接完成并能正常使用的证明，必须提供</w:t>
            </w:r>
            <w:r>
              <w:rPr>
                <w:rFonts w:hint="eastAsia" w:asciiTheme="minorEastAsia" w:hAnsiTheme="minorEastAsia" w:eastAsiaTheme="minorEastAsia" w:cstheme="minorEastAsia"/>
                <w:sz w:val="24"/>
                <w:szCs w:val="24"/>
                <w:highlight w:val="none"/>
                <w:lang w:eastAsia="zh-CN"/>
              </w:rPr>
              <w:t>对接基卫系统</w:t>
            </w:r>
            <w:r>
              <w:rPr>
                <w:rFonts w:hint="eastAsia" w:asciiTheme="minorEastAsia" w:hAnsiTheme="minorEastAsia" w:eastAsiaTheme="minorEastAsia" w:cstheme="minorEastAsia"/>
                <w:sz w:val="24"/>
                <w:szCs w:val="24"/>
                <w:highlight w:val="none"/>
              </w:rPr>
              <w:t>双方合同和双方软件对接完成且能正常数据传输的验收报告。（如果涉及收费必须提供支付凭证等资料。）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8" w:type="dxa"/>
            <w:vMerge w:val="continue"/>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p>
        </w:tc>
        <w:tc>
          <w:tcPr>
            <w:tcW w:w="1486"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软件著作权证书</w:t>
            </w:r>
          </w:p>
        </w:tc>
        <w:tc>
          <w:tcPr>
            <w:tcW w:w="709" w:type="dxa"/>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1套</w:t>
            </w:r>
          </w:p>
        </w:tc>
        <w:tc>
          <w:tcPr>
            <w:tcW w:w="6296" w:type="dxa"/>
            <w:vAlign w:val="top"/>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sz w:val="24"/>
                <w:szCs w:val="24"/>
                <w:highlight w:val="none"/>
              </w:rPr>
              <w:t>投标人必须提供提供智能体检车系统自主知识产权的同名称软件著作权证书，或同名称软件著作权证书及该软件生产企业的授权使用证书。</w:t>
            </w:r>
          </w:p>
        </w:tc>
      </w:tr>
    </w:tbl>
    <w:p>
      <w:pPr>
        <w:rPr>
          <w:rFonts w:hint="eastAsia" w:asciiTheme="minorEastAsia" w:hAnsiTheme="minorEastAsia" w:eastAsiaTheme="minorEastAsia" w:cstheme="minorEastAsia"/>
          <w:b/>
          <w:sz w:val="24"/>
          <w:szCs w:val="24"/>
          <w:highlight w:val="none"/>
        </w:rPr>
      </w:pPr>
    </w:p>
    <w:p>
      <w:pPr>
        <w:pStyle w:val="225"/>
        <w:keepNext w:val="0"/>
        <w:keepLines w:val="0"/>
        <w:pageBreakBefore w:val="0"/>
        <w:kinsoku/>
        <w:wordWrap/>
        <w:overflowPunct/>
        <w:topLinePunct w:val="0"/>
        <w:bidi w:val="0"/>
        <w:adjustRightInd/>
        <w:snapToGrid/>
        <w:spacing w:line="360" w:lineRule="auto"/>
        <w:ind w:firstLine="0" w:firstLineChars="0"/>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附件3</w:t>
      </w:r>
    </w:p>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
          <w:bCs w:val="0"/>
          <w:sz w:val="24"/>
          <w:szCs w:val="24"/>
          <w:highlight w:val="none"/>
        </w:rPr>
      </w:pPr>
      <w:r>
        <w:rPr>
          <w:rFonts w:hint="eastAsia" w:asciiTheme="minorEastAsia" w:hAnsiTheme="minorEastAsia" w:eastAsiaTheme="minorEastAsia" w:cstheme="minorEastAsia"/>
          <w:b/>
          <w:bCs w:val="0"/>
          <w:sz w:val="24"/>
          <w:szCs w:val="24"/>
          <w:highlight w:val="none"/>
        </w:rPr>
        <w:t>车载急救箱配置清单</w:t>
      </w:r>
    </w:p>
    <w:tbl>
      <w:tblPr>
        <w:tblStyle w:val="40"/>
        <w:tblW w:w="9730" w:type="dxa"/>
        <w:jc w:val="center"/>
        <w:tblLayout w:type="fixed"/>
        <w:tblCellMar>
          <w:top w:w="0" w:type="dxa"/>
          <w:left w:w="108" w:type="dxa"/>
          <w:bottom w:w="0" w:type="dxa"/>
          <w:right w:w="108" w:type="dxa"/>
        </w:tblCellMar>
      </w:tblPr>
      <w:tblGrid>
        <w:gridCol w:w="815"/>
        <w:gridCol w:w="3165"/>
        <w:gridCol w:w="2883"/>
        <w:gridCol w:w="2867"/>
      </w:tblGrid>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序号</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名称</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规格与型号</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数量</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人工呼吸器</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一次性</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1套</w:t>
            </w:r>
          </w:p>
        </w:tc>
      </w:tr>
      <w:tr>
        <w:tblPrEx>
          <w:tblCellMar>
            <w:top w:w="0" w:type="dxa"/>
            <w:left w:w="108" w:type="dxa"/>
            <w:bottom w:w="0" w:type="dxa"/>
            <w:right w:w="108" w:type="dxa"/>
          </w:tblCellMar>
        </w:tblPrEx>
        <w:trPr>
          <w:trHeight w:val="237"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口对口呼吸面膜</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2个</w:t>
            </w:r>
          </w:p>
        </w:tc>
      </w:tr>
      <w:tr>
        <w:tblPrEx>
          <w:tblCellMar>
            <w:top w:w="0" w:type="dxa"/>
            <w:left w:w="108" w:type="dxa"/>
            <w:bottom w:w="0" w:type="dxa"/>
            <w:right w:w="108" w:type="dxa"/>
          </w:tblCellMar>
        </w:tblPrEx>
        <w:trPr>
          <w:trHeight w:val="234"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3</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口咽通气道</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8#、9#</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4个</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4</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血压表</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表式</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1套</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5</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听诊器</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单用</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1套</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6</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体温计</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水银</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1支</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7</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手动吸引器</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R型</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1套</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8</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麻醉喉镜</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一次性</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1套</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9</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开口器</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丁字式</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1把</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10</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舌钳</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17cm</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1支</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11</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压舌板</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一次性</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3把</w:t>
            </w:r>
          </w:p>
        </w:tc>
      </w:tr>
      <w:tr>
        <w:tblPrEx>
          <w:tblCellMar>
            <w:top w:w="0" w:type="dxa"/>
            <w:left w:w="108" w:type="dxa"/>
            <w:bottom w:w="0" w:type="dxa"/>
            <w:right w:w="108" w:type="dxa"/>
          </w:tblCellMar>
        </w:tblPrEx>
        <w:trPr>
          <w:trHeight w:val="176"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12</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一次性气管插管</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3．4．7．8</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4条</w:t>
            </w:r>
          </w:p>
        </w:tc>
      </w:tr>
      <w:tr>
        <w:tblPrEx>
          <w:tblCellMar>
            <w:top w:w="0" w:type="dxa"/>
            <w:left w:w="108" w:type="dxa"/>
            <w:bottom w:w="0" w:type="dxa"/>
            <w:right w:w="108" w:type="dxa"/>
          </w:tblCellMar>
        </w:tblPrEx>
        <w:trPr>
          <w:trHeight w:val="210"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13</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气管插管固定器</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1个</w:t>
            </w:r>
          </w:p>
        </w:tc>
      </w:tr>
      <w:tr>
        <w:tblPrEx>
          <w:tblCellMar>
            <w:top w:w="0" w:type="dxa"/>
            <w:left w:w="108" w:type="dxa"/>
            <w:bottom w:w="0" w:type="dxa"/>
            <w:right w:w="108" w:type="dxa"/>
          </w:tblCellMar>
        </w:tblPrEx>
        <w:trPr>
          <w:trHeight w:val="22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14</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压缩纱布块</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50*80cm</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2包</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15</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医用纱布片</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7.5*7.5cm</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10片</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16</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透气胶带</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1.25*200cm</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2卷</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17</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医用手套</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7或7.5号</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2付</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18</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酒精棉片</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5*5cm</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10片</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19</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碘药水棒</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5支装/片</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4板</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20</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剪刀</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1把</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21</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镊子</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1把</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22</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手电筒</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笔式</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1把</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23</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止血钳</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1把</w:t>
            </w:r>
          </w:p>
        </w:tc>
      </w:tr>
      <w:tr>
        <w:tblPrEx>
          <w:tblCellMar>
            <w:top w:w="0" w:type="dxa"/>
            <w:left w:w="108" w:type="dxa"/>
            <w:bottom w:w="0" w:type="dxa"/>
            <w:right w:w="108" w:type="dxa"/>
          </w:tblCellMar>
        </w:tblPrEx>
        <w:trPr>
          <w:trHeight w:val="239"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24</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急救手册</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ind w:firstLine="480" w:firstLineChars="200"/>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1本</w:t>
            </w:r>
          </w:p>
        </w:tc>
      </w:tr>
      <w:tr>
        <w:tblPrEx>
          <w:tblCellMar>
            <w:top w:w="0" w:type="dxa"/>
            <w:left w:w="108" w:type="dxa"/>
            <w:bottom w:w="0" w:type="dxa"/>
            <w:right w:w="108" w:type="dxa"/>
          </w:tblCellMar>
        </w:tblPrEx>
        <w:trPr>
          <w:trHeight w:val="234" w:hRule="atLeast"/>
          <w:jc w:val="center"/>
        </w:trPr>
        <w:tc>
          <w:tcPr>
            <w:tcW w:w="8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25</w:t>
            </w:r>
          </w:p>
        </w:tc>
        <w:tc>
          <w:tcPr>
            <w:tcW w:w="316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提箱规格</w:t>
            </w:r>
          </w:p>
        </w:tc>
        <w:tc>
          <w:tcPr>
            <w:tcW w:w="288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lang w:val="en-US" w:eastAsia="zh-CN"/>
              </w:rPr>
              <w:t>30</w:t>
            </w:r>
            <w:r>
              <w:rPr>
                <w:rFonts w:hint="eastAsia" w:asciiTheme="minorEastAsia" w:hAnsiTheme="minorEastAsia" w:eastAsiaTheme="minorEastAsia" w:cstheme="minorEastAsia"/>
                <w:bCs/>
                <w:sz w:val="24"/>
                <w:szCs w:val="24"/>
                <w:highlight w:val="none"/>
              </w:rPr>
              <w:t>*</w:t>
            </w:r>
            <w:r>
              <w:rPr>
                <w:rFonts w:hint="eastAsia" w:asciiTheme="minorEastAsia" w:hAnsiTheme="minorEastAsia" w:eastAsiaTheme="minorEastAsia" w:cstheme="minorEastAsia"/>
                <w:bCs/>
                <w:sz w:val="24"/>
                <w:szCs w:val="24"/>
                <w:highlight w:val="none"/>
                <w:lang w:val="en-US" w:eastAsia="zh-CN"/>
              </w:rPr>
              <w:t>23</w:t>
            </w:r>
            <w:r>
              <w:rPr>
                <w:rFonts w:hint="eastAsia" w:asciiTheme="minorEastAsia" w:hAnsiTheme="minorEastAsia" w:eastAsiaTheme="minorEastAsia" w:cstheme="minorEastAsia"/>
                <w:bCs/>
                <w:sz w:val="24"/>
                <w:szCs w:val="24"/>
                <w:highlight w:val="none"/>
              </w:rPr>
              <w:t>*</w:t>
            </w:r>
            <w:r>
              <w:rPr>
                <w:rFonts w:hint="eastAsia" w:asciiTheme="minorEastAsia" w:hAnsiTheme="minorEastAsia" w:eastAsiaTheme="minorEastAsia" w:cstheme="minorEastAsia"/>
                <w:bCs/>
                <w:sz w:val="24"/>
                <w:szCs w:val="24"/>
                <w:highlight w:val="none"/>
                <w:lang w:val="en-US" w:eastAsia="zh-CN"/>
              </w:rPr>
              <w:t>13c</w:t>
            </w:r>
            <w:r>
              <w:rPr>
                <w:rFonts w:hint="eastAsia" w:asciiTheme="minorEastAsia" w:hAnsiTheme="minorEastAsia" w:eastAsiaTheme="minorEastAsia" w:cstheme="minorEastAsia"/>
                <w:bCs/>
                <w:sz w:val="24"/>
                <w:szCs w:val="24"/>
                <w:highlight w:val="none"/>
              </w:rPr>
              <w:t>m</w:t>
            </w:r>
          </w:p>
        </w:tc>
        <w:tc>
          <w:tcPr>
            <w:tcW w:w="286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 xml:space="preserve">    1套</w:t>
            </w:r>
          </w:p>
        </w:tc>
      </w:tr>
    </w:tbl>
    <w:p>
      <w:pPr>
        <w:rPr>
          <w:rFonts w:hint="eastAsia" w:ascii="宋体" w:hAnsi="宋体" w:cs="宋体"/>
          <w:b/>
          <w:bCs/>
          <w:color w:val="auto"/>
          <w:spacing w:val="0"/>
          <w:sz w:val="24"/>
          <w:szCs w:val="24"/>
          <w:highlight w:val="none"/>
          <w:lang w:eastAsia="zh-CN"/>
        </w:rPr>
      </w:pPr>
    </w:p>
    <w:p>
      <w:pPr>
        <w:pStyle w:val="36"/>
        <w:keepNext w:val="0"/>
        <w:keepLines w:val="0"/>
        <w:pageBreakBefore w:val="0"/>
        <w:widowControl/>
        <w:numPr>
          <w:ilvl w:val="0"/>
          <w:numId w:val="0"/>
        </w:numPr>
        <w:suppressLineNumbers w:val="0"/>
        <w:kinsoku/>
        <w:overflowPunct/>
        <w:topLinePunct w:val="0"/>
        <w:autoSpaceDE/>
        <w:autoSpaceDN/>
        <w:bidi w:val="0"/>
        <w:adjustRightInd/>
        <w:snapToGrid/>
        <w:spacing w:before="0" w:beforeLines="0" w:beforeAutospacing="0" w:after="0" w:afterLines="0" w:afterAutospacing="0" w:line="360" w:lineRule="auto"/>
        <w:ind w:leftChars="0" w:right="0" w:rightChars="0"/>
        <w:textAlignment w:val="auto"/>
        <w:outlineLvl w:val="9"/>
        <w:rPr>
          <w:rFonts w:hint="eastAsia" w:ascii="宋体" w:hAnsi="宋体" w:cs="宋体"/>
          <w:b/>
          <w:bCs/>
          <w:color w:val="auto"/>
          <w:spacing w:val="0"/>
          <w:sz w:val="24"/>
          <w:szCs w:val="24"/>
          <w:highlight w:val="none"/>
          <w:lang w:val="en-US" w:eastAsia="zh-CN"/>
        </w:rPr>
      </w:pPr>
      <w:r>
        <w:rPr>
          <w:rFonts w:hint="eastAsia" w:ascii="宋体" w:hAnsi="宋体" w:cs="宋体"/>
          <w:b/>
          <w:bCs/>
          <w:color w:val="auto"/>
          <w:spacing w:val="0"/>
          <w:sz w:val="24"/>
          <w:szCs w:val="24"/>
          <w:highlight w:val="none"/>
          <w:lang w:eastAsia="zh-CN"/>
        </w:rPr>
        <w:t>附件</w:t>
      </w:r>
      <w:r>
        <w:rPr>
          <w:rFonts w:hint="eastAsia" w:ascii="宋体" w:hAnsi="宋体" w:cs="宋体"/>
          <w:b/>
          <w:bCs/>
          <w:color w:val="auto"/>
          <w:spacing w:val="0"/>
          <w:sz w:val="24"/>
          <w:szCs w:val="24"/>
          <w:highlight w:val="none"/>
          <w:lang w:val="en-US" w:eastAsia="zh-CN"/>
        </w:rPr>
        <w:t xml:space="preserve">4  </w:t>
      </w:r>
    </w:p>
    <w:p>
      <w:pPr>
        <w:pStyle w:val="36"/>
        <w:keepNext w:val="0"/>
        <w:keepLines w:val="0"/>
        <w:pageBreakBefore w:val="0"/>
        <w:widowControl/>
        <w:numPr>
          <w:ilvl w:val="0"/>
          <w:numId w:val="0"/>
        </w:numPr>
        <w:suppressLineNumbers w:val="0"/>
        <w:kinsoku/>
        <w:overflowPunct/>
        <w:topLinePunct w:val="0"/>
        <w:autoSpaceDE/>
        <w:autoSpaceDN/>
        <w:bidi w:val="0"/>
        <w:adjustRightInd/>
        <w:snapToGrid/>
        <w:spacing w:before="0" w:beforeLines="0" w:beforeAutospacing="0" w:after="0" w:afterLines="0" w:afterAutospacing="0" w:line="360" w:lineRule="auto"/>
        <w:ind w:leftChars="0" w:right="0" w:rightChars="0"/>
        <w:jc w:val="center"/>
        <w:textAlignment w:val="auto"/>
        <w:outlineLvl w:val="9"/>
        <w:rPr>
          <w:rFonts w:hint="default" w:ascii="宋体" w:hAnsi="宋体" w:cs="宋体"/>
          <w:b/>
          <w:bCs/>
          <w:color w:val="auto"/>
          <w:spacing w:val="0"/>
          <w:sz w:val="24"/>
          <w:szCs w:val="24"/>
          <w:highlight w:val="none"/>
          <w:lang w:val="en-US" w:eastAsia="zh-CN"/>
        </w:rPr>
      </w:pPr>
      <w:r>
        <w:rPr>
          <w:rFonts w:hint="eastAsia" w:asciiTheme="minorEastAsia" w:hAnsiTheme="minorEastAsia" w:eastAsiaTheme="minorEastAsia" w:cstheme="minorEastAsia"/>
          <w:b/>
          <w:color w:val="000000"/>
          <w:kern w:val="0"/>
          <w:sz w:val="24"/>
          <w:szCs w:val="24"/>
          <w:highlight w:val="none"/>
          <w:lang w:bidi="ar"/>
        </w:rPr>
        <w:t>AED技术</w:t>
      </w:r>
      <w:r>
        <w:rPr>
          <w:rFonts w:hint="eastAsia" w:asciiTheme="minorEastAsia" w:hAnsiTheme="minorEastAsia" w:eastAsiaTheme="minorEastAsia" w:cstheme="minorEastAsia"/>
          <w:b/>
          <w:color w:val="000000"/>
          <w:kern w:val="0"/>
          <w:sz w:val="24"/>
          <w:szCs w:val="24"/>
          <w:highlight w:val="none"/>
          <w:lang w:eastAsia="zh-CN" w:bidi="ar"/>
        </w:rPr>
        <w:t>参数要求</w:t>
      </w:r>
    </w:p>
    <w:tbl>
      <w:tblPr>
        <w:tblStyle w:val="40"/>
        <w:tblW w:w="96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b/>
                <w:i w:val="0"/>
                <w:color w:val="000000"/>
                <w:sz w:val="24"/>
                <w:szCs w:val="24"/>
                <w:highlight w:val="none"/>
                <w:u w:val="none"/>
              </w:rPr>
            </w:pPr>
            <w:r>
              <w:rPr>
                <w:rFonts w:hint="eastAsia" w:asciiTheme="minorEastAsia" w:hAnsiTheme="minorEastAsia" w:eastAsiaTheme="minorEastAsia" w:cstheme="minorEastAsia"/>
                <w:b/>
                <w:i w:val="0"/>
                <w:color w:val="000000"/>
                <w:kern w:val="0"/>
                <w:sz w:val="24"/>
                <w:szCs w:val="24"/>
                <w:highlight w:val="none"/>
                <w:u w:val="none"/>
                <w:lang w:val="en-US" w:eastAsia="zh-CN" w:bidi="ar"/>
              </w:rPr>
              <w:t>1.1物理规格/性能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1.1.1整机重量（含电池）≤2.6kg。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1.1.2设备具备便携把手，具备高便携性。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1.1.3抗冲击/跌落性能：具备优异的抗冲击/跌落性能，机器六面均可承受≥1.5 m跌落冲击。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1.1.4防尘防水级别：设备具有良好的防尘防水设计，防尘防水级别IP55，需提供证明材料。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Style w:val="230"/>
                <w:rFonts w:hint="eastAsia" w:asciiTheme="minorEastAsia" w:hAnsiTheme="minorEastAsia" w:eastAsiaTheme="minorEastAsia" w:cstheme="minorEastAsia"/>
                <w:sz w:val="24"/>
                <w:szCs w:val="24"/>
                <w:highlight w:val="none"/>
                <w:lang w:val="en-US" w:eastAsia="zh-CN" w:bidi="ar"/>
              </w:rPr>
              <w:t>1.1.5工作温度范围至少满足 -5</w:t>
            </w:r>
            <w:r>
              <w:rPr>
                <w:rStyle w:val="231"/>
                <w:rFonts w:hint="eastAsia" w:asciiTheme="minorEastAsia" w:hAnsiTheme="minorEastAsia" w:eastAsiaTheme="minorEastAsia" w:cstheme="minorEastAsia"/>
                <w:sz w:val="24"/>
                <w:szCs w:val="24"/>
                <w:highlight w:val="none"/>
                <w:lang w:val="en-US" w:eastAsia="zh-CN" w:bidi="ar"/>
              </w:rPr>
              <w:t>º</w:t>
            </w:r>
            <w:r>
              <w:rPr>
                <w:rStyle w:val="230"/>
                <w:rFonts w:hint="eastAsia" w:asciiTheme="minorEastAsia" w:hAnsiTheme="minorEastAsia" w:eastAsiaTheme="minorEastAsia" w:cstheme="minorEastAsia"/>
                <w:sz w:val="24"/>
                <w:szCs w:val="24"/>
                <w:highlight w:val="none"/>
                <w:lang w:val="en-US" w:eastAsia="zh-CN" w:bidi="ar"/>
              </w:rPr>
              <w:t>C ～ 50</w:t>
            </w:r>
            <w:r>
              <w:rPr>
                <w:rStyle w:val="231"/>
                <w:rFonts w:hint="eastAsia" w:asciiTheme="minorEastAsia" w:hAnsiTheme="minorEastAsia" w:eastAsiaTheme="minorEastAsia" w:cstheme="minorEastAsia"/>
                <w:sz w:val="24"/>
                <w:szCs w:val="24"/>
                <w:highlight w:val="none"/>
                <w:lang w:val="en-US" w:eastAsia="zh-CN" w:bidi="ar"/>
              </w:rPr>
              <w:t>º</w:t>
            </w:r>
            <w:r>
              <w:rPr>
                <w:rStyle w:val="230"/>
                <w:rFonts w:hint="eastAsia" w:asciiTheme="minorEastAsia" w:hAnsiTheme="minorEastAsia" w:eastAsiaTheme="minorEastAsia" w:cstheme="minorEastAsia"/>
                <w:sz w:val="24"/>
                <w:szCs w:val="24"/>
                <w:highlight w:val="none"/>
                <w:lang w:val="en-US" w:eastAsia="zh-CN" w:bidi="ar"/>
              </w:rPr>
              <w:t>C，且从室温环境下进入-20</w:t>
            </w:r>
            <w:r>
              <w:rPr>
                <w:rStyle w:val="231"/>
                <w:rFonts w:hint="eastAsia" w:asciiTheme="minorEastAsia" w:hAnsiTheme="minorEastAsia" w:eastAsiaTheme="minorEastAsia" w:cstheme="minorEastAsia"/>
                <w:sz w:val="24"/>
                <w:szCs w:val="24"/>
                <w:highlight w:val="none"/>
                <w:lang w:val="en-US" w:eastAsia="zh-CN" w:bidi="ar"/>
              </w:rPr>
              <w:t>º</w:t>
            </w:r>
            <w:r>
              <w:rPr>
                <w:rStyle w:val="230"/>
                <w:rFonts w:hint="eastAsia" w:asciiTheme="minorEastAsia" w:hAnsiTheme="minorEastAsia" w:eastAsiaTheme="minorEastAsia" w:cstheme="minorEastAsia"/>
                <w:sz w:val="24"/>
                <w:szCs w:val="24"/>
                <w:highlight w:val="none"/>
                <w:lang w:val="en-US" w:eastAsia="zh-CN" w:bidi="ar"/>
              </w:rPr>
              <w:t>C 环境后，至少能工作60分钟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1.1.6工作湿度范围至少满足 0% ～ 95% 非冷凝。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1.1.7工作海拔高度（大气压力）范围：-381 m ～ +4575 m.（57.0 kPa ～ 106.2 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b/>
                <w:i w:val="0"/>
                <w:color w:val="000000"/>
                <w:sz w:val="24"/>
                <w:szCs w:val="24"/>
                <w:highlight w:val="none"/>
                <w:u w:val="none"/>
              </w:rPr>
            </w:pPr>
            <w:r>
              <w:rPr>
                <w:rFonts w:hint="eastAsia" w:asciiTheme="minorEastAsia" w:hAnsiTheme="minorEastAsia" w:eastAsiaTheme="minorEastAsia" w:cstheme="minorEastAsia"/>
                <w:b/>
                <w:i w:val="0"/>
                <w:color w:val="000000"/>
                <w:kern w:val="0"/>
                <w:sz w:val="24"/>
                <w:szCs w:val="24"/>
                <w:highlight w:val="none"/>
                <w:u w:val="none"/>
                <w:lang w:val="en-US" w:eastAsia="zh-CN" w:bidi="ar"/>
              </w:rPr>
              <w:t>1.2. 除颤性能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1.2.1采用双相波技术，双相指数截断（BTE）波形，波形参数可根据病人阻抗进行自动补偿。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1.2.2输出能量：成人最大能量可支持360J。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1.2.3从开机到200J放电准备就绪用时＜7s。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1.2.4开始AED分析到200J放电准备就绪时间＜5s。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b/>
                <w:i w:val="0"/>
                <w:color w:val="000000"/>
                <w:sz w:val="24"/>
                <w:szCs w:val="24"/>
                <w:highlight w:val="none"/>
                <w:u w:val="none"/>
              </w:rPr>
            </w:pPr>
            <w:r>
              <w:rPr>
                <w:rFonts w:hint="eastAsia" w:asciiTheme="minorEastAsia" w:hAnsiTheme="minorEastAsia" w:eastAsiaTheme="minorEastAsia" w:cstheme="minorEastAsia"/>
                <w:b/>
                <w:i w:val="0"/>
                <w:color w:val="000000"/>
                <w:kern w:val="0"/>
                <w:sz w:val="24"/>
                <w:szCs w:val="24"/>
                <w:highlight w:val="none"/>
                <w:u w:val="none"/>
                <w:lang w:val="en-US" w:eastAsia="zh-CN" w:bidi="ar"/>
              </w:rPr>
              <w:t>1.3.除颤电极片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1.3.1类型：提供与机器配套的电极片，要有明显的指示粘贴部位标记，防止粘贴错误，粘贴无效时有语音提示。备用状态时电极片不可裸露，取用AED过程中不得散落。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1.3.2有效期：≧5年。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1.3.3在待机状态，电极片与主机预先连接，节省了开机后插入电极片步骤，提高抢救效率。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1.3.4电极片上具有电极片粘贴方式示意图。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auto"/>
                <w:sz w:val="24"/>
                <w:szCs w:val="24"/>
                <w:highlight w:val="none"/>
                <w:u w:val="none"/>
              </w:rPr>
            </w:pPr>
            <w:r>
              <w:rPr>
                <w:rStyle w:val="230"/>
                <w:rFonts w:hint="eastAsia" w:asciiTheme="minorEastAsia" w:hAnsiTheme="minorEastAsia" w:eastAsiaTheme="minorEastAsia" w:cstheme="minorEastAsia"/>
                <w:color w:val="auto"/>
                <w:sz w:val="24"/>
                <w:szCs w:val="24"/>
                <w:highlight w:val="none"/>
                <w:lang w:val="en-US" w:eastAsia="zh-CN" w:bidi="ar"/>
              </w:rPr>
              <w:t>1.3.5具有电极片有效期自检功能和</w:t>
            </w:r>
            <w:r>
              <w:rPr>
                <w:rStyle w:val="232"/>
                <w:rFonts w:hint="eastAsia" w:asciiTheme="minorEastAsia" w:hAnsiTheme="minorEastAsia" w:eastAsiaTheme="minorEastAsia" w:cstheme="minorEastAsia"/>
                <w:color w:val="auto"/>
                <w:sz w:val="24"/>
                <w:szCs w:val="24"/>
                <w:highlight w:val="none"/>
                <w:lang w:val="en-US" w:eastAsia="zh-CN" w:bidi="ar"/>
              </w:rPr>
              <w:t>电极片过期报警提示。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auto"/>
                <w:sz w:val="24"/>
                <w:szCs w:val="24"/>
                <w:highlight w:val="none"/>
                <w:u w:val="none"/>
              </w:rPr>
            </w:pPr>
            <w:r>
              <w:rPr>
                <w:rStyle w:val="230"/>
                <w:rFonts w:hint="eastAsia" w:asciiTheme="minorEastAsia" w:hAnsiTheme="minorEastAsia" w:eastAsiaTheme="minorEastAsia" w:cstheme="minorEastAsia"/>
                <w:color w:val="auto"/>
                <w:sz w:val="24"/>
                <w:szCs w:val="24"/>
                <w:highlight w:val="none"/>
                <w:lang w:val="en-US" w:eastAsia="zh-CN" w:bidi="ar"/>
              </w:rPr>
              <w:t>1.3.6可自动识别成人、小儿电极片，</w:t>
            </w:r>
            <w:r>
              <w:rPr>
                <w:rStyle w:val="232"/>
                <w:rFonts w:hint="eastAsia" w:asciiTheme="minorEastAsia" w:hAnsiTheme="minorEastAsia" w:eastAsiaTheme="minorEastAsia" w:cstheme="minorEastAsia"/>
                <w:color w:val="auto"/>
                <w:sz w:val="24"/>
                <w:szCs w:val="24"/>
                <w:highlight w:val="none"/>
                <w:lang w:val="en-US" w:eastAsia="zh-CN" w:bidi="ar"/>
              </w:rPr>
              <w:t>并根据电极片类型自动选择对应的除颤能量。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1.3.7提供智能语音播报。设备根据急救人员响应速度，智能提示急救人员除去病人的衣物、粘贴电极片。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b/>
                <w:i w:val="0"/>
                <w:color w:val="000000"/>
                <w:sz w:val="24"/>
                <w:szCs w:val="24"/>
                <w:highlight w:val="none"/>
                <w:u w:val="none"/>
              </w:rPr>
            </w:pPr>
            <w:r>
              <w:rPr>
                <w:rFonts w:hint="eastAsia" w:asciiTheme="minorEastAsia" w:hAnsiTheme="minorEastAsia" w:eastAsiaTheme="minorEastAsia" w:cstheme="minorEastAsia"/>
                <w:b/>
                <w:i w:val="0"/>
                <w:color w:val="000000"/>
                <w:kern w:val="0"/>
                <w:sz w:val="24"/>
                <w:szCs w:val="24"/>
                <w:highlight w:val="none"/>
                <w:u w:val="none"/>
                <w:lang w:val="en-US" w:eastAsia="zh-CN" w:bidi="ar"/>
              </w:rPr>
              <w:t>1.4. 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1.4.1 待机寿命不少于5年（环境温度20 ℃ ±5 ℃，全新电池，每日自检、装入设备内不开机使用、不发送自检结果）。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1.4.2至少可支持300次200J除颤治疗或200次360J除颤治疗。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1.4.3可检测电池低电量并给出报警提示，低电量报警后至少还可持续30分钟工作时间和至少10次200J除颤充放电。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b/>
                <w:i w:val="0"/>
                <w:color w:val="000000"/>
                <w:sz w:val="24"/>
                <w:szCs w:val="24"/>
                <w:highlight w:val="none"/>
                <w:u w:val="none"/>
              </w:rPr>
            </w:pPr>
            <w:r>
              <w:rPr>
                <w:rFonts w:hint="eastAsia" w:asciiTheme="minorEastAsia" w:hAnsiTheme="minorEastAsia" w:eastAsiaTheme="minorEastAsia" w:cstheme="minorEastAsia"/>
                <w:b/>
                <w:i w:val="0"/>
                <w:color w:val="000000"/>
                <w:kern w:val="0"/>
                <w:sz w:val="24"/>
                <w:szCs w:val="24"/>
                <w:highlight w:val="none"/>
                <w:u w:val="none"/>
                <w:lang w:val="en-US" w:eastAsia="zh-CN" w:bidi="ar"/>
              </w:rPr>
              <w:t>1.5.操作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1.5.1设备能够根据环境噪音强度自动调节语音播放音量，适应急救现场嘈杂环境下使用。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Style w:val="230"/>
                <w:rFonts w:hint="eastAsia" w:asciiTheme="minorEastAsia" w:hAnsiTheme="minorEastAsia" w:eastAsiaTheme="minorEastAsia" w:cstheme="minorEastAsia"/>
                <w:sz w:val="24"/>
                <w:szCs w:val="24"/>
                <w:highlight w:val="none"/>
                <w:lang w:val="en-US" w:eastAsia="zh-CN" w:bidi="ar"/>
              </w:rPr>
              <w:t>1.5</w:t>
            </w:r>
            <w:r>
              <w:rPr>
                <w:rStyle w:val="230"/>
                <w:rFonts w:hint="eastAsia" w:asciiTheme="minorEastAsia" w:hAnsiTheme="minorEastAsia" w:eastAsiaTheme="minorEastAsia" w:cstheme="minorEastAsia"/>
                <w:color w:val="auto"/>
                <w:sz w:val="24"/>
                <w:szCs w:val="24"/>
                <w:highlight w:val="none"/>
                <w:lang w:val="en-US" w:eastAsia="zh-CN" w:bidi="ar"/>
              </w:rPr>
              <w:t>.2</w:t>
            </w:r>
            <w:r>
              <w:rPr>
                <w:rStyle w:val="232"/>
                <w:rFonts w:hint="eastAsia" w:asciiTheme="minorEastAsia" w:hAnsiTheme="minorEastAsia" w:eastAsiaTheme="minorEastAsia" w:cstheme="minorEastAsia"/>
                <w:color w:val="auto"/>
                <w:sz w:val="24"/>
                <w:szCs w:val="24"/>
                <w:highlight w:val="none"/>
                <w:lang w:val="en-US" w:eastAsia="zh-CN" w:bidi="ar"/>
              </w:rPr>
              <w:t>提供中英文双语支持，</w:t>
            </w:r>
            <w:r>
              <w:rPr>
                <w:rStyle w:val="230"/>
                <w:rFonts w:hint="eastAsia" w:asciiTheme="minorEastAsia" w:hAnsiTheme="minorEastAsia" w:eastAsiaTheme="minorEastAsia" w:cstheme="minorEastAsia"/>
                <w:color w:val="auto"/>
                <w:sz w:val="24"/>
                <w:szCs w:val="24"/>
                <w:highlight w:val="none"/>
                <w:lang w:val="en-US" w:eastAsia="zh-CN" w:bidi="ar"/>
              </w:rPr>
              <w:t>包括界面显示和语音提示，可一键快速切换中英文，符合公共领域使用要求。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1.5.3支持成人/小儿患者类型快速一键切换，可根据病人类型自动切换提示信息、除颤能量和CPR按压模式。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1.5.4 CPR按压模式支持配置30:2,15:2和仅按压模式。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1.5.5在CPR仅按压过程中持续提供操作指导和剩余按压次数语音提示。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b/>
                <w:i w:val="0"/>
                <w:color w:val="000000"/>
                <w:sz w:val="24"/>
                <w:szCs w:val="24"/>
                <w:highlight w:val="none"/>
                <w:u w:val="none"/>
              </w:rPr>
            </w:pPr>
            <w:r>
              <w:rPr>
                <w:rFonts w:hint="eastAsia" w:asciiTheme="minorEastAsia" w:hAnsiTheme="minorEastAsia" w:eastAsiaTheme="minorEastAsia" w:cstheme="minorEastAsia"/>
                <w:b/>
                <w:i w:val="0"/>
                <w:color w:val="000000"/>
                <w:kern w:val="0"/>
                <w:sz w:val="24"/>
                <w:szCs w:val="24"/>
                <w:highlight w:val="none"/>
                <w:u w:val="none"/>
                <w:lang w:val="en-US" w:eastAsia="zh-CN" w:bidi="ar"/>
              </w:rPr>
              <w:t>1.6.数据传输和存储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1.6.1存储容量：设备的内部存储容量不小于1GB，可存储不少于1000份自检报告。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1.6.2具备录音功能，可保存60分钟抢救现场录音。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1.6.3数据存储：可存储ECG波形数据、事件数据、录音数据、急救数据（须有急救时间、CPR 持续时间、放电次数等要素）、录音数据等。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Style w:val="230"/>
                <w:rFonts w:hint="eastAsia" w:asciiTheme="minorEastAsia" w:hAnsiTheme="minorEastAsia" w:eastAsiaTheme="minorEastAsia" w:cstheme="minorEastAsia"/>
                <w:sz w:val="24"/>
                <w:szCs w:val="24"/>
                <w:highlight w:val="none"/>
                <w:lang w:val="en-US" w:eastAsia="zh-CN" w:bidi="ar"/>
              </w:rPr>
              <w:t>1.6.4支持</w:t>
            </w:r>
            <w:r>
              <w:rPr>
                <w:rStyle w:val="230"/>
                <w:rFonts w:hint="eastAsia" w:asciiTheme="minorEastAsia" w:hAnsiTheme="minorEastAsia" w:eastAsiaTheme="minorEastAsia" w:cstheme="minorEastAsia"/>
                <w:color w:val="auto"/>
                <w:sz w:val="24"/>
                <w:szCs w:val="24"/>
                <w:highlight w:val="none"/>
                <w:lang w:val="en-US" w:eastAsia="zh-CN" w:bidi="ar"/>
              </w:rPr>
              <w:t>USB接口，</w:t>
            </w:r>
            <w:r>
              <w:rPr>
                <w:rStyle w:val="232"/>
                <w:rFonts w:hint="eastAsia" w:asciiTheme="minorEastAsia" w:hAnsiTheme="minorEastAsia" w:eastAsiaTheme="minorEastAsia" w:cstheme="minorEastAsia"/>
                <w:color w:val="auto"/>
                <w:sz w:val="24"/>
                <w:szCs w:val="24"/>
                <w:highlight w:val="none"/>
                <w:lang w:val="en-US" w:eastAsia="zh-CN" w:bidi="ar"/>
              </w:rPr>
              <w:t>可通过外部USB闪存设备导出抢救记录数据。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b/>
                <w:i w:val="0"/>
                <w:color w:val="000000"/>
                <w:sz w:val="24"/>
                <w:szCs w:val="24"/>
                <w:highlight w:val="none"/>
                <w:u w:val="none"/>
              </w:rPr>
            </w:pPr>
            <w:r>
              <w:rPr>
                <w:rFonts w:hint="eastAsia" w:asciiTheme="minorEastAsia" w:hAnsiTheme="minorEastAsia" w:eastAsiaTheme="minorEastAsia" w:cstheme="minorEastAsia"/>
                <w:b/>
                <w:i w:val="0"/>
                <w:color w:val="000000"/>
                <w:kern w:val="0"/>
                <w:sz w:val="24"/>
                <w:szCs w:val="24"/>
                <w:highlight w:val="none"/>
                <w:u w:val="none"/>
                <w:lang w:val="en-US" w:eastAsia="zh-CN" w:bidi="ar"/>
              </w:rPr>
              <w:t>1.7设备维护与自检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1.7.1设备具有用户自检和设备自检功能。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1.7.2 支持每日、每周、每月、每季度的设备自检。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1.7.3提供设备状态指示灯：根据自检结果，红灯/绿灯显示设备状态。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1.7.4电极片自检：每月一次，检查电极片是否过期。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1.7.5 电气安全监测：每年一次，及时检测出可能对病人、急救人员和维修人员造成电气安全危害的隐患。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b/>
                <w:i w:val="0"/>
                <w:color w:val="000000"/>
                <w:sz w:val="24"/>
                <w:szCs w:val="24"/>
                <w:highlight w:val="none"/>
                <w:u w:val="none"/>
              </w:rPr>
            </w:pPr>
            <w:r>
              <w:rPr>
                <w:rFonts w:hint="eastAsia" w:asciiTheme="minorEastAsia" w:hAnsiTheme="minorEastAsia" w:eastAsiaTheme="minorEastAsia" w:cstheme="minorEastAsia"/>
                <w:b/>
                <w:i w:val="0"/>
                <w:color w:val="000000"/>
                <w:kern w:val="0"/>
                <w:sz w:val="24"/>
                <w:szCs w:val="24"/>
                <w:highlight w:val="none"/>
                <w:u w:val="none"/>
                <w:lang w:val="en-US" w:eastAsia="zh-CN" w:bidi="ar"/>
              </w:rPr>
              <w:t>1.8配置及相关要求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1.8.1配置清单：自动体外除颤器、一次性免维护不可充电电池、成人一次性电极片、用户手册、快速操作指南。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1.8.2相关要求：AED为投标方的最新产品，且出厂日期应不超过半年，如为进口产品，提供有效的进关证明（报关单）。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jc w:val="center"/>
        </w:trPr>
        <w:tc>
          <w:tcPr>
            <w:tcW w:w="967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Theme="minorEastAsia" w:hAnsiTheme="minorEastAsia" w:eastAsiaTheme="minorEastAsia" w:cstheme="minorEastAsia"/>
                <w:i w:val="0"/>
                <w:color w:val="000000"/>
                <w:sz w:val="24"/>
                <w:szCs w:val="24"/>
                <w:highlight w:val="none"/>
                <w:u w:val="none"/>
              </w:rPr>
            </w:pPr>
            <w:r>
              <w:rPr>
                <w:rFonts w:hint="eastAsia" w:asciiTheme="minorEastAsia" w:hAnsiTheme="minorEastAsia" w:eastAsiaTheme="minorEastAsia" w:cstheme="minorEastAsia"/>
                <w:i w:val="0"/>
                <w:color w:val="000000"/>
                <w:kern w:val="0"/>
                <w:sz w:val="24"/>
                <w:szCs w:val="24"/>
                <w:highlight w:val="none"/>
                <w:u w:val="none"/>
                <w:lang w:val="en-US" w:eastAsia="zh-CN" w:bidi="ar"/>
              </w:rPr>
              <w:t>1.8.3机箱要求：采用壁挂式机箱，材质应耐压耐腐蚀并具备防晒防水等功能；机箱外观应比例协调，美观大方，机箱色彩由采购方选定，并应根据采购方需求印制指定标识及宣传标语。</w:t>
            </w:r>
          </w:p>
        </w:tc>
      </w:tr>
    </w:tbl>
    <w:p>
      <w:pPr>
        <w:pStyle w:val="36"/>
        <w:keepNext w:val="0"/>
        <w:keepLines w:val="0"/>
        <w:pageBreakBefore w:val="0"/>
        <w:widowControl/>
        <w:numPr>
          <w:ilvl w:val="0"/>
          <w:numId w:val="0"/>
        </w:numPr>
        <w:suppressLineNumbers w:val="0"/>
        <w:kinsoku/>
        <w:overflowPunct/>
        <w:topLinePunct w:val="0"/>
        <w:autoSpaceDE/>
        <w:autoSpaceDN/>
        <w:bidi w:val="0"/>
        <w:adjustRightInd/>
        <w:snapToGrid/>
        <w:spacing w:before="0" w:beforeLines="0" w:beforeAutospacing="0" w:after="0" w:afterLines="0" w:afterAutospacing="0" w:line="360" w:lineRule="auto"/>
        <w:ind w:leftChars="0" w:right="0" w:rightChars="0"/>
        <w:textAlignment w:val="auto"/>
        <w:outlineLvl w:val="9"/>
        <w:rPr>
          <w:rFonts w:hint="eastAsia" w:ascii="宋体" w:hAnsi="宋体" w:cs="宋体"/>
          <w:b/>
          <w:bCs/>
          <w:color w:val="auto"/>
          <w:spacing w:val="0"/>
          <w:sz w:val="24"/>
          <w:szCs w:val="24"/>
          <w:highlight w:val="none"/>
          <w:lang w:eastAsia="zh-CN"/>
        </w:rPr>
      </w:pPr>
    </w:p>
    <w:bookmarkEnd w:id="121"/>
    <w:bookmarkEnd w:id="122"/>
    <w:bookmarkEnd w:id="123"/>
    <w:bookmarkEnd w:id="124"/>
    <w:bookmarkEnd w:id="125"/>
    <w:bookmarkEnd w:id="126"/>
    <w:bookmarkEnd w:id="127"/>
    <w:p>
      <w:pPr>
        <w:keepNext w:val="0"/>
        <w:keepLines w:val="0"/>
        <w:pageBreakBefore w:val="0"/>
        <w:numPr>
          <w:ilvl w:val="0"/>
          <w:numId w:val="4"/>
        </w:numPr>
        <w:kinsoku/>
        <w:wordWrap/>
        <w:overflowPunct/>
        <w:topLinePunct w:val="0"/>
        <w:autoSpaceDE/>
        <w:autoSpaceDN/>
        <w:bidi w:val="0"/>
        <w:adjustRightInd/>
        <w:snapToGrid/>
        <w:spacing w:beforeAutospacing="0" w:afterAutospacing="0" w:line="360" w:lineRule="auto"/>
        <w:ind w:left="0" w:leftChars="0" w:firstLine="0" w:firstLineChars="0"/>
        <w:textAlignment w:val="auto"/>
        <w:outlineLvl w:val="1"/>
        <w:rPr>
          <w:rFonts w:hint="eastAsia" w:ascii="宋体" w:hAnsi="宋体" w:eastAsia="宋体" w:cs="宋体"/>
          <w:b/>
          <w:bCs/>
          <w:color w:val="auto"/>
          <w:sz w:val="24"/>
          <w:szCs w:val="24"/>
          <w:highlight w:val="none"/>
          <w:lang w:val="en-US" w:eastAsia="zh-CN"/>
        </w:rPr>
      </w:pPr>
      <w:bookmarkStart w:id="136" w:name="_Toc5401"/>
      <w:bookmarkStart w:id="137" w:name="_Toc471817420"/>
      <w:bookmarkStart w:id="138" w:name="_Toc492718078"/>
      <w:bookmarkStart w:id="139" w:name="_Toc464492987"/>
      <w:r>
        <w:rPr>
          <w:rFonts w:hint="eastAsia" w:ascii="宋体" w:hAnsi="宋体" w:eastAsia="宋体" w:cs="宋体"/>
          <w:b/>
          <w:bCs/>
          <w:color w:val="auto"/>
          <w:sz w:val="24"/>
          <w:szCs w:val="24"/>
          <w:highlight w:val="none"/>
          <w:lang w:val="en-US" w:eastAsia="zh-CN"/>
        </w:rPr>
        <w:t>商务条件（以下内容均不可偏离，投标人应逐条进行响应，否则视为无效投标）</w:t>
      </w:r>
      <w:bookmarkEnd w:id="136"/>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Style w:val="43"/>
          <w:rFonts w:hint="eastAsia" w:ascii="宋体" w:hAnsi="宋体" w:cs="宋体"/>
          <w:sz w:val="24"/>
          <w:szCs w:val="24"/>
          <w:highlight w:val="none"/>
          <w:lang w:val="en-US" w:eastAsia="zh-CN"/>
        </w:rPr>
        <w:t>1</w:t>
      </w:r>
      <w:r>
        <w:rPr>
          <w:rStyle w:val="43"/>
          <w:rFonts w:hint="eastAsia" w:ascii="宋体" w:hAnsi="宋体" w:eastAsia="宋体" w:cs="宋体"/>
          <w:sz w:val="24"/>
          <w:szCs w:val="24"/>
          <w:highlight w:val="none"/>
        </w:rPr>
        <w:t>、安装调试与验收</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Style w:val="43"/>
          <w:rFonts w:hint="eastAsia" w:ascii="宋体" w:hAnsi="宋体" w:eastAsia="宋体" w:cs="宋体"/>
          <w:sz w:val="24"/>
          <w:szCs w:val="24"/>
          <w:highlight w:val="none"/>
        </w:rPr>
        <w:t>  </w:t>
      </w:r>
      <w:r>
        <w:rPr>
          <w:rStyle w:val="43"/>
          <w:rFonts w:hint="eastAsia" w:ascii="宋体" w:hAnsi="宋体" w:cs="宋体"/>
          <w:sz w:val="24"/>
          <w:szCs w:val="24"/>
          <w:highlight w:val="none"/>
          <w:lang w:val="en-US" w:eastAsia="zh-CN"/>
        </w:rPr>
        <w:t>1</w:t>
      </w:r>
      <w:r>
        <w:rPr>
          <w:rStyle w:val="43"/>
          <w:rFonts w:hint="eastAsia" w:ascii="宋体" w:hAnsi="宋体" w:eastAsia="宋体" w:cs="宋体"/>
          <w:sz w:val="24"/>
          <w:szCs w:val="24"/>
          <w:highlight w:val="none"/>
        </w:rPr>
        <w:t>.1安装调试</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.1.1合同签订后，由中标人负责将设备按签订合同的具体数量、具体地点运送到最终目的地。并负责派技术人员到现场进行安装、调试，并负责调试至验收合格交付</w:t>
      </w:r>
      <w:r>
        <w:rPr>
          <w:rFonts w:hint="eastAsia" w:ascii="宋体" w:hAnsi="宋体" w:cs="宋体"/>
          <w:sz w:val="24"/>
          <w:szCs w:val="24"/>
          <w:highlight w:val="none"/>
          <w:lang w:eastAsia="zh-CN"/>
        </w:rPr>
        <w:t>配置车辆的卫生院</w:t>
      </w:r>
      <w:r>
        <w:rPr>
          <w:rFonts w:hint="eastAsia" w:ascii="宋体" w:hAnsi="宋体" w:eastAsia="宋体" w:cs="宋体"/>
          <w:sz w:val="24"/>
          <w:szCs w:val="24"/>
          <w:highlight w:val="none"/>
        </w:rPr>
        <w:t>使用。</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.1.2中标人负责组织专业技术人员进行货物安装调试，采购人应提供必须的基本条件和专人配合，保证各项安装工作顺利进行。</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 xml:space="preserve"> 设备到达最终采购人</w:t>
      </w:r>
      <w:r>
        <w:rPr>
          <w:rFonts w:hint="eastAsia" w:ascii="宋体" w:hAnsi="宋体" w:eastAsia="宋体" w:cs="宋体"/>
          <w:sz w:val="24"/>
          <w:szCs w:val="24"/>
          <w:highlight w:val="none"/>
          <w:lang w:eastAsia="zh-CN"/>
        </w:rPr>
        <w:t>指定</w:t>
      </w:r>
      <w:r>
        <w:rPr>
          <w:rFonts w:hint="eastAsia" w:ascii="宋体" w:hAnsi="宋体" w:eastAsia="宋体" w:cs="宋体"/>
          <w:sz w:val="24"/>
          <w:szCs w:val="24"/>
          <w:highlight w:val="none"/>
        </w:rPr>
        <w:t>现场后，中标人的工程师到采购人的现场安装设备，同时应向</w:t>
      </w:r>
      <w:r>
        <w:rPr>
          <w:rFonts w:hint="eastAsia" w:ascii="宋体" w:hAnsi="宋体" w:cs="宋体"/>
          <w:sz w:val="24"/>
          <w:szCs w:val="24"/>
          <w:highlight w:val="none"/>
          <w:lang w:eastAsia="zh-CN"/>
        </w:rPr>
        <w:t>接收方</w:t>
      </w:r>
      <w:r>
        <w:rPr>
          <w:rFonts w:hint="eastAsia" w:ascii="宋体" w:hAnsi="宋体" w:eastAsia="宋体" w:cs="宋体"/>
          <w:sz w:val="24"/>
          <w:szCs w:val="24"/>
          <w:highlight w:val="none"/>
        </w:rPr>
        <w:t>介绍设备功能及特殊分析。</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中标人提供的配置应符合临床应用要求。</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Style w:val="43"/>
          <w:rFonts w:hint="eastAsia" w:ascii="宋体" w:hAnsi="宋体" w:eastAsia="宋体" w:cs="宋体"/>
          <w:sz w:val="24"/>
          <w:szCs w:val="24"/>
          <w:highlight w:val="none"/>
        </w:rPr>
        <w:t>  </w:t>
      </w:r>
      <w:r>
        <w:rPr>
          <w:rStyle w:val="43"/>
          <w:rFonts w:hint="eastAsia" w:ascii="宋体" w:hAnsi="宋体" w:cs="宋体"/>
          <w:sz w:val="24"/>
          <w:szCs w:val="24"/>
          <w:highlight w:val="none"/>
          <w:lang w:val="en-US" w:eastAsia="zh-CN"/>
        </w:rPr>
        <w:t>1</w:t>
      </w:r>
      <w:r>
        <w:rPr>
          <w:rStyle w:val="43"/>
          <w:rFonts w:hint="eastAsia" w:ascii="宋体" w:hAnsi="宋体" w:eastAsia="宋体" w:cs="宋体"/>
          <w:sz w:val="24"/>
          <w:szCs w:val="24"/>
          <w:highlight w:val="none"/>
        </w:rPr>
        <w:t>.2  验收</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Style w:val="43"/>
          <w:rFonts w:hint="eastAsia" w:ascii="宋体" w:hAnsi="宋体" w:eastAsia="宋体" w:cs="宋体"/>
          <w:sz w:val="24"/>
          <w:szCs w:val="24"/>
          <w:highlight w:val="none"/>
        </w:rPr>
        <w:t>  </w:t>
      </w:r>
      <w:r>
        <w:rPr>
          <w:rFonts w:hint="eastAsia" w:ascii="宋体" w:hAnsi="宋体" w:eastAsia="宋体" w:cs="宋体"/>
          <w:sz w:val="24"/>
          <w:szCs w:val="24"/>
          <w:highlight w:val="none"/>
          <w:lang w:val="en-US" w:eastAsia="zh-CN"/>
        </w:rPr>
        <w:t>1.</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验收标准 投标方所提供的所有仪器设备按厂家仪器设备验收标准（符合国家或行业或地方标准）、招标文件、投标文件等有关内容进行验收。投标方提供仪器设备的制造标准及技术规范等有关资料必须符合中国相应有关标准、规范要求。 </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384"/>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1.2.</w:t>
      </w:r>
      <w:r>
        <w:rPr>
          <w:rFonts w:hint="eastAsia" w:ascii="宋体" w:hAnsi="宋体" w:eastAsia="宋体" w:cs="宋体"/>
          <w:sz w:val="24"/>
          <w:szCs w:val="24"/>
          <w:highlight w:val="none"/>
        </w:rPr>
        <w:t xml:space="preserve">2验收程序和方法 </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384"/>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1 \* GB3 \* MERGEFORMAT </w:instrText>
      </w:r>
      <w:r>
        <w:rPr>
          <w:rFonts w:hint="eastAsia" w:ascii="宋体" w:hAnsi="宋体" w:eastAsia="宋体" w:cs="宋体"/>
          <w:sz w:val="24"/>
          <w:szCs w:val="24"/>
          <w:highlight w:val="none"/>
        </w:rPr>
        <w:fldChar w:fldCharType="separate"/>
      </w:r>
      <w:r>
        <w:rPr>
          <w:highlight w:val="none"/>
        </w:rPr>
        <w:t>①</w:t>
      </w:r>
      <w:r>
        <w:rPr>
          <w:rFonts w:hint="eastAsia" w:ascii="宋体" w:hAnsi="宋体" w:eastAsia="宋体" w:cs="宋体"/>
          <w:sz w:val="24"/>
          <w:szCs w:val="24"/>
          <w:highlight w:val="none"/>
        </w:rPr>
        <w:fldChar w:fldCharType="end"/>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出厂检验 中标人在仪器设备出厂前，应按仪器设备技术标准规定的检验项目和检验方法进行全面检验，中标人应随同货物出具供货证明、产地证书、出厂检验报告、质量合格证书、原装拼配设备的证明资料和文件以及生产厂家供货确认函等。结果必须符合验收标准的要求。 </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384"/>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2 \* GB3 \* MERGEFORMAT </w:instrText>
      </w:r>
      <w:r>
        <w:rPr>
          <w:rFonts w:hint="eastAsia" w:ascii="宋体" w:hAnsi="宋体" w:eastAsia="宋体" w:cs="宋体"/>
          <w:sz w:val="24"/>
          <w:szCs w:val="24"/>
          <w:highlight w:val="none"/>
        </w:rPr>
        <w:fldChar w:fldCharType="separate"/>
      </w:r>
      <w:r>
        <w:rPr>
          <w:highlight w:val="none"/>
        </w:rPr>
        <w:t>②</w:t>
      </w:r>
      <w:r>
        <w:rPr>
          <w:rFonts w:hint="eastAsia" w:ascii="宋体" w:hAnsi="宋体" w:eastAsia="宋体" w:cs="宋体"/>
          <w:sz w:val="24"/>
          <w:szCs w:val="24"/>
          <w:highlight w:val="none"/>
        </w:rPr>
        <w:fldChar w:fldCharType="end"/>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初验收 由中标人和</w:t>
      </w:r>
      <w:r>
        <w:rPr>
          <w:rFonts w:hint="eastAsia" w:ascii="宋体" w:hAnsi="宋体" w:cs="宋体"/>
          <w:sz w:val="24"/>
          <w:szCs w:val="24"/>
          <w:highlight w:val="none"/>
          <w:lang w:eastAsia="zh-CN"/>
        </w:rPr>
        <w:t>接收方</w:t>
      </w:r>
      <w:r>
        <w:rPr>
          <w:rFonts w:hint="eastAsia" w:ascii="宋体" w:hAnsi="宋体" w:eastAsia="宋体" w:cs="宋体"/>
          <w:sz w:val="24"/>
          <w:szCs w:val="24"/>
          <w:highlight w:val="none"/>
        </w:rPr>
        <w:t xml:space="preserve">共同对设备的数量、质量、外包装等根据本章节的有关规定逐项检验。 </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384"/>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3 \* GB3 \* MERGEFORMAT </w:instrText>
      </w:r>
      <w:r>
        <w:rPr>
          <w:rFonts w:hint="eastAsia" w:ascii="宋体" w:hAnsi="宋体" w:eastAsia="宋体" w:cs="宋体"/>
          <w:sz w:val="24"/>
          <w:szCs w:val="24"/>
          <w:highlight w:val="none"/>
        </w:rPr>
        <w:fldChar w:fldCharType="separate"/>
      </w:r>
      <w:r>
        <w:rPr>
          <w:highlight w:val="none"/>
        </w:rPr>
        <w:t>③</w:t>
      </w:r>
      <w:r>
        <w:rPr>
          <w:rFonts w:hint="eastAsia" w:ascii="宋体" w:hAnsi="宋体" w:eastAsia="宋体" w:cs="宋体"/>
          <w:sz w:val="24"/>
          <w:szCs w:val="24"/>
          <w:highlight w:val="none"/>
        </w:rPr>
        <w:fldChar w:fldCharType="end"/>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试运行 设备安装完毕后，中标人应对设备的整体性能和功能进行测试，试运行期间，出现的任何问题，应由中标人及时处理修正。测试结果必须符合招标文件要求及合同中的相关条款，同时中标人应向采购人提供自检记录。 </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384"/>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4 \* GB3 \* MERGEFORMAT </w:instrText>
      </w:r>
      <w:r>
        <w:rPr>
          <w:rFonts w:hint="eastAsia" w:ascii="宋体" w:hAnsi="宋体" w:eastAsia="宋体" w:cs="宋体"/>
          <w:sz w:val="24"/>
          <w:szCs w:val="24"/>
          <w:highlight w:val="none"/>
        </w:rPr>
        <w:fldChar w:fldCharType="separate"/>
      </w:r>
      <w:r>
        <w:rPr>
          <w:highlight w:val="none"/>
        </w:rPr>
        <w:t>④</w:t>
      </w:r>
      <w:r>
        <w:rPr>
          <w:rFonts w:hint="eastAsia" w:ascii="宋体" w:hAnsi="宋体" w:eastAsia="宋体" w:cs="宋体"/>
          <w:sz w:val="24"/>
          <w:szCs w:val="24"/>
          <w:highlight w:val="none"/>
        </w:rPr>
        <w:fldChar w:fldCharType="end"/>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最终验收 试运行并测试验收结束后，由</w:t>
      </w:r>
      <w:r>
        <w:rPr>
          <w:rFonts w:hint="eastAsia" w:ascii="宋体" w:hAnsi="宋体" w:cs="宋体"/>
          <w:sz w:val="24"/>
          <w:szCs w:val="24"/>
          <w:highlight w:val="none"/>
          <w:lang w:eastAsia="zh-CN"/>
        </w:rPr>
        <w:t>接收方</w:t>
      </w:r>
      <w:r>
        <w:rPr>
          <w:rFonts w:hint="eastAsia" w:ascii="宋体" w:hAnsi="宋体" w:eastAsia="宋体" w:cs="宋体"/>
          <w:sz w:val="24"/>
          <w:szCs w:val="24"/>
          <w:highlight w:val="none"/>
        </w:rPr>
        <w:t>或</w:t>
      </w:r>
      <w:r>
        <w:rPr>
          <w:rFonts w:hint="eastAsia" w:ascii="宋体" w:hAnsi="宋体" w:cs="宋体"/>
          <w:sz w:val="24"/>
          <w:szCs w:val="24"/>
          <w:highlight w:val="none"/>
          <w:lang w:eastAsia="zh-CN"/>
        </w:rPr>
        <w:t>采购人委托单位</w:t>
      </w:r>
      <w:r>
        <w:rPr>
          <w:rFonts w:hint="eastAsia" w:ascii="宋体" w:hAnsi="宋体" w:eastAsia="宋体" w:cs="宋体"/>
          <w:sz w:val="24"/>
          <w:szCs w:val="24"/>
          <w:highlight w:val="none"/>
        </w:rPr>
        <w:t>一同对仪器设备进行联合验收，验收结果应符合使用要求。在此期间，若发现产品质量有问题中标人应无条件免费更换，并无条件重新检测调试直至验收合格交付使用。中标人在</w:t>
      </w:r>
      <w:r>
        <w:rPr>
          <w:rFonts w:hint="eastAsia" w:ascii="宋体" w:hAnsi="宋体" w:cs="宋体"/>
          <w:sz w:val="24"/>
          <w:szCs w:val="24"/>
          <w:highlight w:val="none"/>
          <w:lang w:eastAsia="zh-CN"/>
        </w:rPr>
        <w:t>接收方</w:t>
      </w:r>
      <w:r>
        <w:rPr>
          <w:rFonts w:hint="eastAsia" w:ascii="宋体" w:hAnsi="宋体" w:eastAsia="宋体" w:cs="宋体"/>
          <w:sz w:val="24"/>
          <w:szCs w:val="24"/>
          <w:highlight w:val="none"/>
        </w:rPr>
        <w:t>安装现场进行最终检验所产生的一切费用由中标人承担。</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Style w:val="43"/>
          <w:rFonts w:hint="eastAsia" w:ascii="宋体" w:hAnsi="宋体" w:eastAsia="宋体" w:cs="宋体"/>
          <w:sz w:val="24"/>
          <w:szCs w:val="24"/>
          <w:highlight w:val="none"/>
        </w:rPr>
        <w:t> </w:t>
      </w:r>
      <w:r>
        <w:rPr>
          <w:rStyle w:val="43"/>
          <w:rFonts w:hint="eastAsia" w:ascii="宋体" w:hAnsi="宋体" w:eastAsia="宋体" w:cs="宋体"/>
          <w:sz w:val="24"/>
          <w:szCs w:val="24"/>
          <w:highlight w:val="none"/>
          <w:lang w:val="en-US" w:eastAsia="zh-CN"/>
        </w:rPr>
        <w:t>2</w:t>
      </w:r>
      <w:r>
        <w:rPr>
          <w:rStyle w:val="43"/>
          <w:rFonts w:hint="eastAsia" w:ascii="宋体" w:hAnsi="宋体" w:eastAsia="宋体" w:cs="宋体"/>
          <w:sz w:val="24"/>
          <w:szCs w:val="24"/>
          <w:highlight w:val="none"/>
        </w:rPr>
        <w:t>、技术资料要求</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12" w:leftChars="0" w:firstLine="554" w:firstLineChars="231"/>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中标人需提供本项目全套设备配置清单（详列名称、品牌型号、数量、原产地等）。中标人应向采购人提供以下目录的技术资料壹套（各项指标和参数应符合验收标准，采购人有权委托</w:t>
      </w:r>
      <w:r>
        <w:rPr>
          <w:rFonts w:hint="eastAsia" w:ascii="宋体" w:hAnsi="宋体" w:cs="宋体"/>
          <w:sz w:val="24"/>
          <w:szCs w:val="24"/>
          <w:highlight w:val="none"/>
          <w:lang w:eastAsia="zh-CN"/>
        </w:rPr>
        <w:t>国内</w:t>
      </w:r>
      <w:r>
        <w:rPr>
          <w:rFonts w:hint="eastAsia" w:ascii="宋体" w:hAnsi="宋体" w:eastAsia="宋体" w:cs="宋体"/>
          <w:sz w:val="24"/>
          <w:szCs w:val="24"/>
          <w:highlight w:val="none"/>
        </w:rPr>
        <w:t>有资格单位或机构对设备性能、精度进行校核）。</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192"/>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.1出厂明细表(装箱单)；</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192"/>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.2出厂检验报告和合格证书；</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192"/>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.3使用说明书；</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192"/>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.4安装手册、操作手册、维修手册；</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192"/>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.5零部件目录；</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192"/>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.6相关文件、支持程序软盘或光盘；</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192"/>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.7提供原 产 地制造商的产品证明；</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192"/>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.8合同中要求的其它文件资料。</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Style w:val="43"/>
          <w:rFonts w:hint="eastAsia" w:ascii="宋体" w:hAnsi="宋体" w:cs="宋体"/>
          <w:sz w:val="24"/>
          <w:szCs w:val="24"/>
          <w:highlight w:val="none"/>
          <w:lang w:val="en-US" w:eastAsia="zh-CN"/>
        </w:rPr>
        <w:t>3</w:t>
      </w:r>
      <w:r>
        <w:rPr>
          <w:rStyle w:val="43"/>
          <w:rFonts w:hint="eastAsia" w:ascii="宋体" w:hAnsi="宋体" w:eastAsia="宋体" w:cs="宋体"/>
          <w:sz w:val="24"/>
          <w:szCs w:val="24"/>
          <w:highlight w:val="none"/>
        </w:rPr>
        <w:t>、专用工具</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192"/>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.1中标人应向采购人提供一套维修所需的专用工具及清单(若有清单附在投标文件中)。</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Style w:val="43"/>
          <w:rFonts w:hint="eastAsia" w:ascii="宋体" w:hAnsi="宋体" w:cs="宋体"/>
          <w:sz w:val="24"/>
          <w:szCs w:val="24"/>
          <w:highlight w:val="none"/>
          <w:lang w:val="en-US" w:eastAsia="zh-CN"/>
        </w:rPr>
        <w:t>4</w:t>
      </w:r>
      <w:r>
        <w:rPr>
          <w:rStyle w:val="43"/>
          <w:rFonts w:hint="eastAsia" w:ascii="宋体" w:hAnsi="宋体" w:eastAsia="宋体" w:cs="宋体"/>
          <w:sz w:val="24"/>
          <w:szCs w:val="24"/>
          <w:highlight w:val="none"/>
        </w:rPr>
        <w:t>、特殊工具</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192"/>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.1中标人应向采购人提供货物安装和维修所需的特殊工具及清单和中文说明书，其费用包括在投标总价内（若有）。</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Style w:val="43"/>
          <w:rFonts w:hint="eastAsia" w:ascii="宋体" w:hAnsi="宋体" w:cs="宋体"/>
          <w:sz w:val="24"/>
          <w:szCs w:val="24"/>
          <w:highlight w:val="none"/>
          <w:lang w:val="en-US" w:eastAsia="zh-CN"/>
        </w:rPr>
        <w:t>5</w:t>
      </w:r>
      <w:r>
        <w:rPr>
          <w:rStyle w:val="43"/>
          <w:rFonts w:hint="eastAsia" w:ascii="宋体" w:hAnsi="宋体" w:eastAsia="宋体" w:cs="宋体"/>
          <w:sz w:val="24"/>
          <w:szCs w:val="24"/>
          <w:highlight w:val="none"/>
        </w:rPr>
        <w:t>、售后服务要求</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.1中标人应对所供的</w:t>
      </w:r>
      <w:r>
        <w:rPr>
          <w:rFonts w:hint="eastAsia" w:asciiTheme="minorEastAsia" w:hAnsiTheme="minorEastAsia" w:eastAsiaTheme="minorEastAsia" w:cstheme="minorEastAsia"/>
          <w:sz w:val="24"/>
          <w:szCs w:val="24"/>
          <w:highlight w:val="none"/>
        </w:rPr>
        <w:t>车辆质保期</w:t>
      </w:r>
      <w:r>
        <w:rPr>
          <w:rFonts w:hint="eastAsia" w:ascii="宋体" w:hAnsi="宋体" w:eastAsia="宋体" w:cs="宋体"/>
          <w:sz w:val="24"/>
          <w:szCs w:val="24"/>
          <w:highlight w:val="none"/>
        </w:rPr>
        <w:t>≧</w:t>
      </w:r>
      <w:r>
        <w:rPr>
          <w:rFonts w:hint="eastAsia" w:asciiTheme="minorEastAsia" w:hAnsiTheme="minorEastAsia" w:eastAsiaTheme="minorEastAsia" w:cstheme="minorEastAsia"/>
          <w:sz w:val="24"/>
          <w:szCs w:val="24"/>
          <w:highlight w:val="none"/>
        </w:rPr>
        <w:t>2</w:t>
      </w:r>
      <w:r>
        <w:rPr>
          <w:rFonts w:hint="eastAsia" w:ascii="宋体" w:hAnsi="宋体" w:eastAsia="宋体" w:cs="宋体"/>
          <w:sz w:val="24"/>
          <w:szCs w:val="24"/>
          <w:highlight w:val="none"/>
        </w:rPr>
        <w:t>年或8万公里（先到为准），免费三清保养≧4次，所有三清保养中所需的机油、齿轮油及工时费全免</w:t>
      </w:r>
      <w:r>
        <w:rPr>
          <w:rFonts w:hint="eastAsia" w:ascii="宋体" w:hAnsi="宋体" w:cs="宋体"/>
          <w:sz w:val="24"/>
          <w:szCs w:val="24"/>
          <w:highlight w:val="none"/>
          <w:lang w:eastAsia="zh-CN"/>
        </w:rPr>
        <w:t>，</w:t>
      </w:r>
      <w:r>
        <w:rPr>
          <w:rFonts w:hint="eastAsia" w:asciiTheme="minorEastAsia" w:hAnsiTheme="minorEastAsia" w:eastAsiaTheme="minorEastAsia" w:cstheme="minorEastAsia"/>
          <w:kern w:val="0"/>
          <w:sz w:val="24"/>
          <w:szCs w:val="24"/>
          <w:highlight w:val="none"/>
        </w:rPr>
        <w:t>车辆及其底盘车均须有国家汽车公告认可，车辆运行安全条件应符合GB7258－2017《机动车运行安全技术条件》，</w:t>
      </w:r>
      <w:r>
        <w:rPr>
          <w:rFonts w:hint="eastAsia" w:asciiTheme="minorEastAsia" w:hAnsiTheme="minorEastAsia" w:eastAsiaTheme="minorEastAsia" w:cstheme="minorEastAsia"/>
          <w:sz w:val="24"/>
          <w:szCs w:val="24"/>
          <w:highlight w:val="none"/>
        </w:rPr>
        <w:t>并提供车辆售后维护保养服务，车载医疗设备售后服务由设备厂家负责。</w:t>
      </w:r>
      <w:r>
        <w:rPr>
          <w:rFonts w:hint="eastAsia" w:ascii="宋体" w:hAnsi="宋体" w:cs="宋体"/>
          <w:sz w:val="24"/>
          <w:szCs w:val="24"/>
          <w:highlight w:val="none"/>
          <w:lang w:eastAsia="zh-CN"/>
        </w:rPr>
        <w:t>随车配备</w:t>
      </w:r>
      <w:r>
        <w:rPr>
          <w:rFonts w:hint="eastAsia" w:ascii="宋体" w:hAnsi="宋体" w:eastAsia="宋体" w:cs="宋体"/>
          <w:sz w:val="24"/>
          <w:szCs w:val="24"/>
          <w:highlight w:val="none"/>
        </w:rPr>
        <w:t>医疗设备质保期应≧</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年，质保期的服务响应时间（必须在4个小时作出响应）</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免费提供质保期内的日常维护，系统安装后每季度上门进行巡回维护服务，并无偿提供≧3年内软件操作系统的升级更新服务。自产品交货验收合格之日算起。保修期内，非因操作不当造成要更换的零配件及货物由中标人负责包修、包换。在质量保修期结束前1个月，中标人须免费对货物进行一次全面的维护与保养。</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.2质量保修期后的服务要求</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.2.1质保期结束后，中标人仍应对货物提供终身维修服务，中标人有责任自行维护或在当地指定有能力的代 理人对货物在必要时进行定期维护和修理，更换配件时只能收取配件的成本费，各配件的折扣价应在响应文件中注明。供应商在响应文件中必须明确说明服务承诺。 </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.3 维修服务的响应时间</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.3.1质量保修期内要求现场保修的货物若发生问题，中标人最终维修服务响应时间为立即响应, 在24小时内到达现场进行免费维修服务。故障原因在48小时内无法排除的，则应提供相应的备用货物以保证采购人的正常使用。故障维修响应时间内未到过现场进行维修者，采购人可自行委托相关企业进行维修，所需费用从质量保证金中扣除。</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.4 供应商可视自身能力在响应文件中提供更优、更合理的维修服务承诺。</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.5 中标人应结合供应商自检、最终验收阶段，免费为采购人技术人员进行有关货物维护、操作、保养等方面的现场培训，直至能熟练独立操作。</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Style w:val="43"/>
          <w:rFonts w:hint="eastAsia" w:ascii="宋体" w:hAnsi="宋体" w:cs="宋体"/>
          <w:sz w:val="24"/>
          <w:szCs w:val="24"/>
          <w:highlight w:val="none"/>
          <w:lang w:val="en-US" w:eastAsia="zh-CN"/>
        </w:rPr>
        <w:t>6</w:t>
      </w:r>
      <w:r>
        <w:rPr>
          <w:rStyle w:val="43"/>
          <w:rFonts w:hint="eastAsia" w:ascii="宋体" w:hAnsi="宋体" w:eastAsia="宋体" w:cs="宋体"/>
          <w:sz w:val="24"/>
          <w:szCs w:val="24"/>
          <w:highlight w:val="none"/>
        </w:rPr>
        <w:t>、技术培训</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为确保用户方的相关管理人员能对中标方所提供的设备和装置的设计、日常的动作、损耗和例行维护等有全面的认识和了解，中标方须负责提供所需的安装、调试、操作使用、设备维修等进行技术培训（现场培训），使其对整套系统的各个方面都能熟悉掌握。</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(2)技术培训所涉及的一切费用（包括中标人委派的专业技术人员费用）均由中标人承担且应包含在本次投标总价中。</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Style w:val="43"/>
          <w:rFonts w:hint="eastAsia" w:ascii="宋体" w:hAnsi="宋体" w:eastAsia="宋体" w:cs="宋体"/>
          <w:kern w:val="0"/>
          <w:sz w:val="24"/>
          <w:szCs w:val="24"/>
          <w:highlight w:val="none"/>
          <w:lang w:val="en-US" w:eastAsia="zh-CN" w:bidi="ar"/>
        </w:rPr>
        <w:t>7、支付方式</w:t>
      </w:r>
      <w:r>
        <w:rPr>
          <w:rStyle w:val="43"/>
          <w:rFonts w:hint="eastAsia" w:ascii="宋体" w:hAnsi="宋体" w:cs="宋体"/>
          <w:kern w:val="0"/>
          <w:sz w:val="24"/>
          <w:szCs w:val="24"/>
          <w:highlight w:val="none"/>
          <w:lang w:val="en-US" w:eastAsia="zh-CN" w:bidi="ar"/>
        </w:rPr>
        <w:t>：</w:t>
      </w:r>
      <w:r>
        <w:rPr>
          <w:rFonts w:hint="eastAsia" w:ascii="宋体" w:hAnsi="宋体" w:eastAsia="宋体" w:cs="宋体"/>
          <w:sz w:val="24"/>
          <w:szCs w:val="24"/>
          <w:highlight w:val="none"/>
        </w:rPr>
        <w:t>签订合同后付合同总金额的40%</w:t>
      </w:r>
      <w:r>
        <w:rPr>
          <w:rFonts w:hint="eastAsia" w:ascii="宋体" w:hAnsi="宋体" w:cs="宋体"/>
          <w:sz w:val="24"/>
          <w:szCs w:val="24"/>
          <w:highlight w:val="none"/>
          <w:lang w:eastAsia="zh-CN"/>
        </w:rPr>
        <w:t>（同时中标人应提供银行出具的</w:t>
      </w:r>
      <w:r>
        <w:rPr>
          <w:rFonts w:hint="eastAsia" w:ascii="宋体" w:hAnsi="宋体" w:cs="宋体"/>
          <w:sz w:val="24"/>
          <w:szCs w:val="24"/>
          <w:highlight w:val="none"/>
          <w:lang w:val="en-US" w:eastAsia="zh-CN"/>
        </w:rPr>
        <w:t>100%预付款退款保函）</w:t>
      </w:r>
      <w:r>
        <w:rPr>
          <w:rFonts w:hint="eastAsia" w:ascii="宋体" w:hAnsi="宋体" w:eastAsia="宋体" w:cs="宋体"/>
          <w:sz w:val="24"/>
          <w:szCs w:val="24"/>
          <w:highlight w:val="none"/>
        </w:rPr>
        <w:t>，到货后付合同总金额的30%，最终验收合格后付清余款</w:t>
      </w:r>
      <w:r>
        <w:rPr>
          <w:rFonts w:hint="eastAsia" w:ascii="宋体" w:hAnsi="宋体" w:cs="宋体"/>
          <w:sz w:val="24"/>
          <w:szCs w:val="24"/>
          <w:highlight w:val="none"/>
          <w:lang w:eastAsia="zh-CN"/>
        </w:rPr>
        <w:t>。</w:t>
      </w:r>
      <w:r>
        <w:rPr>
          <w:rFonts w:hint="eastAsia" w:ascii="宋体" w:hAnsi="宋体" w:eastAsia="宋体" w:cs="宋体"/>
          <w:sz w:val="24"/>
          <w:szCs w:val="24"/>
          <w:highlight w:val="none"/>
          <w:lang w:val="en-US" w:eastAsia="zh-CN"/>
        </w:rPr>
        <w:t xml:space="preserve"> </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8</w:t>
      </w:r>
      <w:r>
        <w:rPr>
          <w:rFonts w:hint="eastAsia" w:ascii="宋体" w:hAnsi="宋体" w:eastAsia="宋体" w:cs="宋体"/>
          <w:b/>
          <w:bCs/>
          <w:sz w:val="24"/>
          <w:szCs w:val="24"/>
          <w:highlight w:val="none"/>
        </w:rPr>
        <w:t>、履约保证金</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554" w:firstLineChars="231"/>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签订合同前，中标人向采购人缴交合同总金额的5%履约保证金[履约保证金的形式可为保函] 后。该履约保证金于本项最终验收合格后，无任何质量或服务问题，无违约情况，且中标人向采购人提交退还履约保证金申请报告后，采购人于15日内无息全额退还履约保证金。投标人若存在不履行合同或不完全履行合同，或中标后或签约时或履行合同过程中发现中标人存在提供虚假材料或承诺谋取中标等行为的，履约保证金均不予退还。</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9</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en-US"/>
        </w:rPr>
        <w:t>投标报价说明</w:t>
      </w:r>
      <w:r>
        <w:rPr>
          <w:rFonts w:hint="eastAsia" w:ascii="宋体" w:hAnsi="宋体" w:eastAsia="宋体" w:cs="宋体"/>
          <w:sz w:val="24"/>
          <w:szCs w:val="24"/>
          <w:highlight w:val="none"/>
        </w:rPr>
        <w:br w:type="textWrapping"/>
      </w:r>
      <w:r>
        <w:rPr>
          <w:rFonts w:hint="eastAsia" w:ascii="宋体" w:hAnsi="宋体" w:eastAsia="宋体" w:cs="宋体"/>
          <w:sz w:val="24"/>
          <w:szCs w:val="24"/>
          <w:highlight w:val="none"/>
        </w:rPr>
        <w:t>  本次招标项目的投标价格包含车身价、改装费、医疗设备、随车设备费、包装费、安装调试费、运输费、培训费、技术服务费、质保期内的售后保障费等所有费用。</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b/>
          <w:bCs/>
          <w:sz w:val="24"/>
          <w:szCs w:val="24"/>
          <w:highlight w:val="none"/>
        </w:rPr>
      </w:pPr>
      <w:bookmarkStart w:id="140" w:name="_Toc31469763"/>
      <w:bookmarkStart w:id="141" w:name="_Toc31570514"/>
      <w:r>
        <w:rPr>
          <w:rFonts w:hint="eastAsia" w:ascii="宋体" w:hAnsi="宋体" w:cs="宋体"/>
          <w:b/>
          <w:bCs/>
          <w:sz w:val="24"/>
          <w:szCs w:val="24"/>
          <w:highlight w:val="none"/>
          <w:lang w:val="en-US" w:eastAsia="zh-CN"/>
        </w:rPr>
        <w:t>10</w:t>
      </w:r>
      <w:r>
        <w:rPr>
          <w:rFonts w:hint="eastAsia" w:ascii="宋体" w:hAnsi="宋体" w:eastAsia="宋体" w:cs="宋体"/>
          <w:b/>
          <w:bCs/>
          <w:sz w:val="24"/>
          <w:szCs w:val="24"/>
          <w:highlight w:val="none"/>
        </w:rPr>
        <w:t>、其他要求</w:t>
      </w:r>
      <w:bookmarkEnd w:id="140"/>
      <w:bookmarkEnd w:id="141"/>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 xml:space="preserve">10.1 </w:t>
      </w:r>
      <w:r>
        <w:rPr>
          <w:rFonts w:hint="eastAsia" w:ascii="宋体" w:hAnsi="宋体" w:eastAsia="宋体" w:cs="宋体"/>
          <w:sz w:val="24"/>
          <w:szCs w:val="24"/>
          <w:highlight w:val="none"/>
        </w:rPr>
        <w:t>在签订合同</w:t>
      </w:r>
      <w:r>
        <w:rPr>
          <w:rFonts w:hint="eastAsia" w:ascii="宋体" w:hAnsi="宋体" w:cs="宋体"/>
          <w:sz w:val="24"/>
          <w:szCs w:val="24"/>
          <w:highlight w:val="none"/>
          <w:lang w:val="en-US" w:eastAsia="zh-CN"/>
        </w:rPr>
        <w:t>前</w:t>
      </w:r>
      <w:r>
        <w:rPr>
          <w:rFonts w:hint="eastAsia" w:ascii="宋体" w:hAnsi="宋体" w:eastAsia="宋体" w:cs="宋体"/>
          <w:sz w:val="24"/>
          <w:szCs w:val="24"/>
          <w:highlight w:val="none"/>
        </w:rPr>
        <w:t>，采购人视情况有权要求中标</w:t>
      </w:r>
      <w:r>
        <w:rPr>
          <w:rFonts w:hint="eastAsia" w:ascii="宋体" w:hAnsi="宋体" w:cs="宋体"/>
          <w:sz w:val="24"/>
          <w:szCs w:val="24"/>
          <w:highlight w:val="none"/>
          <w:lang w:val="en-US" w:eastAsia="zh-CN"/>
        </w:rPr>
        <w:t>候选</w:t>
      </w:r>
      <w:r>
        <w:rPr>
          <w:rFonts w:hint="eastAsia" w:ascii="宋体" w:hAnsi="宋体" w:eastAsia="宋体" w:cs="宋体"/>
          <w:sz w:val="24"/>
          <w:szCs w:val="24"/>
          <w:highlight w:val="none"/>
        </w:rPr>
        <w:t>人提供符合性条款</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商务及技术评分项中涉及的证明资料（证书、报告等）原件进行复核，发现虚假应标，取消中标资格，同时加入政府采购黑名单，保留追究投标人违约责任的权力，并赔偿因项目延误所造成的损失。</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10.2</w:t>
      </w:r>
      <w:r>
        <w:rPr>
          <w:rFonts w:hint="eastAsia" w:ascii="宋体" w:hAnsi="宋体" w:eastAsia="宋体" w:cs="宋体"/>
          <w:sz w:val="24"/>
          <w:szCs w:val="24"/>
          <w:highlight w:val="none"/>
        </w:rPr>
        <w:t>中标人不得分包或转包他人，若发现分包或转包，采购人有权终止合同，并追究相应法律责任。中标人在合同期内未经采购人同意不得擅自中止合同。</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textAlignment w:val="auto"/>
        <w:rPr>
          <w:rFonts w:hint="eastAsia" w:ascii="宋体" w:hAnsi="宋体" w:eastAsia="宋体" w:cs="宋体"/>
          <w:b/>
          <w:bCs/>
          <w:sz w:val="24"/>
          <w:szCs w:val="24"/>
          <w:highlight w:val="none"/>
        </w:rPr>
      </w:pPr>
      <w:bookmarkStart w:id="142" w:name="_Toc31570515"/>
      <w:bookmarkStart w:id="143" w:name="_Toc31469764"/>
      <w:r>
        <w:rPr>
          <w:rFonts w:hint="eastAsia" w:ascii="宋体" w:hAnsi="宋体" w:cs="宋体"/>
          <w:b/>
          <w:bCs/>
          <w:sz w:val="24"/>
          <w:szCs w:val="24"/>
          <w:highlight w:val="none"/>
          <w:lang w:val="en-US" w:eastAsia="zh-CN"/>
        </w:rPr>
        <w:t>11</w:t>
      </w:r>
      <w:r>
        <w:rPr>
          <w:rFonts w:hint="eastAsia" w:ascii="宋体" w:hAnsi="宋体" w:eastAsia="宋体" w:cs="宋体"/>
          <w:b/>
          <w:bCs/>
          <w:sz w:val="24"/>
          <w:szCs w:val="24"/>
          <w:highlight w:val="none"/>
        </w:rPr>
        <w:t>、违约责任</w:t>
      </w:r>
      <w:bookmarkEnd w:id="142"/>
      <w:bookmarkEnd w:id="143"/>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 xml:space="preserve">11.1 </w:t>
      </w:r>
      <w:r>
        <w:rPr>
          <w:rFonts w:hint="eastAsia" w:ascii="宋体" w:hAnsi="宋体" w:eastAsia="宋体" w:cs="宋体"/>
          <w:sz w:val="24"/>
          <w:szCs w:val="24"/>
          <w:highlight w:val="none"/>
        </w:rPr>
        <w:t>因中标人原因造成合同无法按时签订，视为中标人违约；若给采购人造成损失或不良影响的，采购人有权终止合同，由此造成的一切法律后果，中标人自行负责。</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 xml:space="preserve">11.2 </w:t>
      </w:r>
      <w:r>
        <w:rPr>
          <w:rFonts w:hint="eastAsia" w:ascii="宋体" w:hAnsi="宋体" w:eastAsia="宋体" w:cs="宋体"/>
          <w:sz w:val="24"/>
          <w:szCs w:val="24"/>
          <w:highlight w:val="none"/>
        </w:rPr>
        <w:t>在签</w:t>
      </w:r>
      <w:r>
        <w:rPr>
          <w:rFonts w:hint="eastAsia" w:ascii="宋体" w:hAnsi="宋体" w:cs="宋体"/>
          <w:sz w:val="24"/>
          <w:szCs w:val="24"/>
          <w:highlight w:val="none"/>
          <w:lang w:val="en-US" w:eastAsia="zh-CN"/>
        </w:rPr>
        <w:t>订</w:t>
      </w:r>
      <w:r>
        <w:rPr>
          <w:rFonts w:hint="eastAsia" w:ascii="宋体" w:hAnsi="宋体" w:eastAsia="宋体" w:cs="宋体"/>
          <w:sz w:val="24"/>
          <w:szCs w:val="24"/>
          <w:highlight w:val="none"/>
        </w:rPr>
        <w:t>合同之后，中标人要求解除合同，视为中标人违约，取消中标资格，同时加入政府采购黑名单及行业主管部门黑名单。</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 xml:space="preserve">11.3 </w:t>
      </w:r>
      <w:r>
        <w:rPr>
          <w:rFonts w:hint="eastAsia" w:ascii="宋体" w:hAnsi="宋体" w:eastAsia="宋体" w:cs="宋体"/>
          <w:sz w:val="24"/>
          <w:szCs w:val="24"/>
          <w:highlight w:val="none"/>
        </w:rPr>
        <w:t>在合同履行期间若中标人无法履行合同或履行中未按照响应招标文件及投标文件的内容进行实施或中途放弃履行合同，视为中标人违约，取消中标资格，同时加入政府采购黑名单及行业主管部门黑名单。</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11.4</w:t>
      </w:r>
      <w:r>
        <w:rPr>
          <w:rFonts w:hint="eastAsia" w:ascii="宋体" w:hAnsi="宋体" w:eastAsia="宋体" w:cs="宋体"/>
          <w:sz w:val="24"/>
          <w:szCs w:val="24"/>
          <w:highlight w:val="none"/>
        </w:rPr>
        <w:t>因中标人原因发生重大质量事故，除依约承担赔偿责任外，还将按有关法规执行。同时，采购人有权保留更换中标人的权利，并报相关行政主管部门处罚。</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 xml:space="preserve">11.5 </w:t>
      </w:r>
      <w:r>
        <w:rPr>
          <w:rFonts w:hint="eastAsia" w:ascii="宋体" w:hAnsi="宋体" w:eastAsia="宋体" w:cs="宋体"/>
          <w:sz w:val="24"/>
          <w:szCs w:val="24"/>
          <w:highlight w:val="none"/>
        </w:rPr>
        <w:t>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11.6</w:t>
      </w:r>
      <w:r>
        <w:rPr>
          <w:rFonts w:hint="eastAsia" w:ascii="宋体" w:hAnsi="宋体" w:eastAsia="宋体" w:cs="宋体"/>
          <w:sz w:val="24"/>
          <w:szCs w:val="24"/>
          <w:highlight w:val="none"/>
        </w:rPr>
        <w:t>中标人应按投标文件的承诺派遣相应专业技能的人员。</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11.7</w:t>
      </w:r>
      <w:r>
        <w:rPr>
          <w:rFonts w:hint="eastAsia" w:ascii="宋体" w:hAnsi="宋体" w:eastAsia="宋体" w:cs="宋体"/>
          <w:sz w:val="24"/>
          <w:szCs w:val="24"/>
          <w:highlight w:val="none"/>
        </w:rPr>
        <w:t>中标人未按期交货的违约责任</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①如果中标人未能按合同规定的时间足额交货（不可抗力除外），须按合同规定支付延期交货违约金并赔偿由此给采购人造成的损失，同时采购人有权选择同意延长交货期还是不予延长交货期，采购人同意延长交货期的，延期交货的时间由双方另行确定。延期交货违约金按迟交货物金额的 1 ％（每日）计算，但延期交货违约金的支付总额不得超过迟交货物金额的30％。</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②若中标人逾期交货达30天（含30天）以上的，采购人有权单方面解除采购合同，中标人仍应按上述约定支付延期交货违约金。若因此给采购人造成损失的，中标人还应赔偿采购人所受的损失。</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③若中标人不能交货的，中标人应按货款的</w:t>
      </w:r>
      <w:r>
        <w:rPr>
          <w:rFonts w:hint="eastAsia" w:ascii="宋体" w:hAnsi="宋体" w:cs="宋体"/>
          <w:sz w:val="24"/>
          <w:szCs w:val="24"/>
          <w:highlight w:val="none"/>
          <w:lang w:val="en-US" w:eastAsia="zh-CN"/>
        </w:rPr>
        <w:t>40</w:t>
      </w:r>
      <w:r>
        <w:rPr>
          <w:rFonts w:hint="eastAsia" w:ascii="宋体" w:hAnsi="宋体" w:eastAsia="宋体" w:cs="宋体"/>
          <w:sz w:val="24"/>
          <w:szCs w:val="24"/>
          <w:highlight w:val="none"/>
        </w:rPr>
        <w:t>％向采购人支付违约金。若因此给采购人造成损失的，中标人还应赔偿采购人所受的损失。</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11.8中标人交付的货物未能通过最终验收的，按中标价格予以赔偿。</w:t>
      </w:r>
      <w:r>
        <w:rPr>
          <w:rFonts w:hint="eastAsia" w:ascii="宋体" w:hAnsi="宋体" w:eastAsia="宋体" w:cs="宋体"/>
          <w:sz w:val="24"/>
          <w:szCs w:val="24"/>
          <w:highlight w:val="none"/>
        </w:rPr>
        <w:t>若因此给采购人造成损失的，中标人还应赔偿采购人所受的损失。</w:t>
      </w:r>
    </w:p>
    <w:p>
      <w:pPr>
        <w:pStyle w:val="3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firstLine="276"/>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11.9中标人必须保证车辆顺利办理报牌手续，并提供售后维护配件和服务，否则按中标价格予以赔偿。</w:t>
      </w:r>
    </w:p>
    <w:p>
      <w:pPr>
        <w:pStyle w:val="38"/>
        <w:numPr>
          <w:ilvl w:val="0"/>
          <w:numId w:val="0"/>
        </w:numPr>
        <w:ind w:leftChars="0"/>
        <w:jc w:val="both"/>
        <w:outlineLvl w:val="9"/>
        <w:rPr>
          <w:rFonts w:hint="eastAsia"/>
          <w:highlight w:val="none"/>
          <w:lang w:val="en-US" w:eastAsia="zh-CN"/>
        </w:rPr>
      </w:pPr>
    </w:p>
    <w:bookmarkEnd w:id="128"/>
    <w:bookmarkEnd w:id="129"/>
    <w:bookmarkEnd w:id="130"/>
    <w:bookmarkEnd w:id="131"/>
    <w:bookmarkEnd w:id="132"/>
    <w:bookmarkEnd w:id="133"/>
    <w:bookmarkEnd w:id="134"/>
    <w:bookmarkEnd w:id="137"/>
    <w:bookmarkEnd w:id="138"/>
    <w:bookmarkEnd w:id="139"/>
    <w:p>
      <w:pPr>
        <w:keepNext w:val="0"/>
        <w:keepLines w:val="0"/>
        <w:pageBreakBefore w:val="0"/>
        <w:kinsoku/>
        <w:wordWrap/>
        <w:overflowPunct/>
        <w:topLinePunct w:val="0"/>
        <w:autoSpaceDE/>
        <w:autoSpaceDN/>
        <w:bidi w:val="0"/>
        <w:adjustRightInd/>
        <w:snapToGrid/>
        <w:spacing w:line="360" w:lineRule="auto"/>
        <w:ind w:firstLine="480"/>
        <w:jc w:val="center"/>
        <w:textAlignment w:val="auto"/>
        <w:outlineLvl w:val="0"/>
        <w:rPr>
          <w:rFonts w:ascii="微软雅黑" w:hAnsi="微软雅黑" w:eastAsia="微软雅黑" w:cs="微软雅黑"/>
          <w:i w:val="0"/>
          <w:caps w:val="0"/>
          <w:color w:val="000000"/>
          <w:spacing w:val="0"/>
          <w:sz w:val="27"/>
          <w:szCs w:val="27"/>
          <w:highlight w:val="none"/>
        </w:rPr>
      </w:pPr>
      <w:r>
        <w:rPr>
          <w:rFonts w:hint="eastAsia" w:ascii="宋体" w:hAnsi="宋体" w:eastAsia="宋体" w:cs="宋体"/>
          <w:bCs/>
          <w:color w:val="auto"/>
          <w:sz w:val="24"/>
          <w:highlight w:val="none"/>
        </w:rPr>
        <w:br w:type="page"/>
      </w:r>
      <w:bookmarkStart w:id="144" w:name="_Toc492718088"/>
      <w:bookmarkStart w:id="145" w:name="_Toc2926"/>
      <w:r>
        <w:rPr>
          <w:rFonts w:hint="eastAsia" w:ascii="宋体" w:hAnsi="宋体" w:eastAsia="宋体" w:cs="宋体"/>
          <w:b/>
          <w:bCs/>
          <w:color w:val="auto"/>
          <w:sz w:val="36"/>
          <w:szCs w:val="36"/>
          <w:highlight w:val="none"/>
        </w:rPr>
        <w:t xml:space="preserve">第四章  </w:t>
      </w:r>
      <w:bookmarkEnd w:id="144"/>
      <w:r>
        <w:rPr>
          <w:rFonts w:hint="eastAsia" w:ascii="宋体" w:hAnsi="宋体" w:cs="宋体"/>
          <w:b/>
          <w:bCs/>
          <w:color w:val="auto"/>
          <w:sz w:val="36"/>
          <w:szCs w:val="36"/>
          <w:highlight w:val="none"/>
          <w:lang w:eastAsia="zh-CN"/>
        </w:rPr>
        <w:t>政府采购合同（参考文本）</w:t>
      </w:r>
      <w:bookmarkEnd w:id="145"/>
      <w:r>
        <w:rPr>
          <w:rFonts w:hint="eastAsia" w:ascii="宋体" w:hAnsi="宋体" w:eastAsia="宋体" w:cs="宋体"/>
          <w:bCs/>
          <w:color w:val="auto"/>
          <w:sz w:val="24"/>
          <w:szCs w:val="32"/>
          <w:highlight w:val="none"/>
        </w:rPr>
        <w:t xml:space="preserve">                                               </w:t>
      </w:r>
      <w:r>
        <w:rPr>
          <w:rFonts w:hint="eastAsia" w:ascii="宋体" w:hAnsi="宋体" w:eastAsia="宋体" w:cs="宋体"/>
          <w:bCs/>
          <w:color w:val="auto"/>
          <w:szCs w:val="21"/>
          <w:highlight w:val="none"/>
        </w:rPr>
        <w:t xml:space="preserve">      </w:t>
      </w:r>
      <w:r>
        <w:rPr>
          <w:rFonts w:hint="eastAsia" w:ascii="宋体" w:hAnsi="宋体" w:eastAsia="宋体" w:cs="宋体"/>
          <w:bCs/>
          <w:color w:val="auto"/>
          <w:sz w:val="24"/>
          <w:highlight w:val="none"/>
        </w:rPr>
        <w:t xml:space="preserve">                                                                                                                                                                                                                                        </w:t>
      </w:r>
    </w:p>
    <w:p>
      <w:pPr>
        <w:pStyle w:val="36"/>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27"/>
          <w:szCs w:val="27"/>
          <w:highlight w:val="none"/>
        </w:rPr>
      </w:pPr>
      <w:r>
        <w:rPr>
          <w:rFonts w:hint="eastAsia" w:ascii="宋体" w:hAnsi="宋体" w:eastAsia="宋体" w:cs="宋体"/>
          <w:i w:val="0"/>
          <w:caps w:val="0"/>
          <w:color w:val="000000"/>
          <w:spacing w:val="0"/>
          <w:sz w:val="19"/>
          <w:szCs w:val="19"/>
          <w:highlight w:val="none"/>
        </w:rPr>
        <w:t> </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宋体" w:hAnsi="宋体" w:eastAsia="宋体" w:cs="宋体"/>
          <w:i w:val="0"/>
          <w:caps w:val="0"/>
          <w:color w:val="000000"/>
          <w:spacing w:val="0"/>
          <w:sz w:val="24"/>
          <w:szCs w:val="24"/>
          <w:highlight w:val="none"/>
        </w:rPr>
      </w:pPr>
      <w:r>
        <w:rPr>
          <w:rStyle w:val="43"/>
          <w:rFonts w:hint="eastAsia" w:ascii="宋体" w:hAnsi="宋体" w:eastAsia="宋体" w:cs="宋体"/>
          <w:i w:val="0"/>
          <w:caps w:val="0"/>
          <w:color w:val="000000"/>
          <w:spacing w:val="0"/>
          <w:sz w:val="24"/>
          <w:szCs w:val="24"/>
          <w:highlight w:val="none"/>
        </w:rPr>
        <w:t>编制说明</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Style w:val="43"/>
          <w:rFonts w:hint="eastAsia" w:ascii="宋体" w:hAnsi="宋体" w:eastAsia="宋体" w:cs="宋体"/>
          <w:i w:val="0"/>
          <w:caps w:val="0"/>
          <w:color w:val="000000"/>
          <w:spacing w:val="0"/>
          <w:sz w:val="24"/>
          <w:szCs w:val="24"/>
          <w:highlight w:val="none"/>
        </w:rPr>
        <w:t>1、签订合同应遵守政府采购法、合同法。</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Style w:val="43"/>
          <w:rFonts w:hint="eastAsia" w:ascii="宋体" w:hAnsi="宋体" w:eastAsia="宋体" w:cs="宋体"/>
          <w:i w:val="0"/>
          <w:caps w:val="0"/>
          <w:color w:val="000000"/>
          <w:spacing w:val="0"/>
          <w:sz w:val="24"/>
          <w:szCs w:val="24"/>
          <w:highlight w:val="none"/>
        </w:rPr>
        <w:t>2、签订合同时，采购人与中标人应结合招标文件第</w:t>
      </w:r>
      <w:r>
        <w:rPr>
          <w:rStyle w:val="43"/>
          <w:rFonts w:hint="eastAsia" w:ascii="宋体" w:hAnsi="宋体" w:cs="宋体"/>
          <w:i w:val="0"/>
          <w:caps w:val="0"/>
          <w:color w:val="000000"/>
          <w:spacing w:val="0"/>
          <w:sz w:val="24"/>
          <w:szCs w:val="24"/>
          <w:highlight w:val="none"/>
          <w:lang w:eastAsia="zh-CN"/>
        </w:rPr>
        <w:t>三</w:t>
      </w:r>
      <w:r>
        <w:rPr>
          <w:rStyle w:val="43"/>
          <w:rFonts w:hint="eastAsia" w:ascii="宋体" w:hAnsi="宋体" w:eastAsia="宋体" w:cs="宋体"/>
          <w:i w:val="0"/>
          <w:caps w:val="0"/>
          <w:color w:val="000000"/>
          <w:spacing w:val="0"/>
          <w:sz w:val="24"/>
          <w:szCs w:val="24"/>
          <w:highlight w:val="none"/>
        </w:rPr>
        <w:t>章规定填列相应内容。招标文件第</w:t>
      </w:r>
      <w:r>
        <w:rPr>
          <w:rStyle w:val="43"/>
          <w:rFonts w:hint="eastAsia" w:ascii="宋体" w:hAnsi="宋体" w:cs="宋体"/>
          <w:i w:val="0"/>
          <w:caps w:val="0"/>
          <w:color w:val="000000"/>
          <w:spacing w:val="0"/>
          <w:sz w:val="24"/>
          <w:szCs w:val="24"/>
          <w:highlight w:val="none"/>
          <w:lang w:eastAsia="zh-CN"/>
        </w:rPr>
        <w:t>三</w:t>
      </w:r>
      <w:r>
        <w:rPr>
          <w:rStyle w:val="43"/>
          <w:rFonts w:hint="eastAsia" w:ascii="宋体" w:hAnsi="宋体" w:eastAsia="宋体" w:cs="宋体"/>
          <w:i w:val="0"/>
          <w:caps w:val="0"/>
          <w:color w:val="000000"/>
          <w:spacing w:val="0"/>
          <w:sz w:val="24"/>
          <w:szCs w:val="24"/>
          <w:highlight w:val="none"/>
        </w:rPr>
        <w:t>章已有规定的，双方均不得变更或调整；招标文件第五章未作规定的，双方可通过友好协商进行约定。</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Style w:val="43"/>
          <w:rFonts w:hint="eastAsia" w:ascii="宋体" w:hAnsi="宋体" w:eastAsia="宋体" w:cs="宋体"/>
          <w:i w:val="0"/>
          <w:caps w:val="0"/>
          <w:color w:val="000000"/>
          <w:spacing w:val="0"/>
          <w:sz w:val="24"/>
          <w:szCs w:val="24"/>
          <w:highlight w:val="none"/>
        </w:rPr>
        <w:t>3、国家有关部门对若干合同有规范文本的，可使用相应合同文本。</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甲方：</w:t>
      </w:r>
      <w:r>
        <w:rPr>
          <w:rFonts w:hint="eastAsia" w:ascii="宋体" w:hAnsi="宋体" w:eastAsia="宋体" w:cs="宋体"/>
          <w:i w:val="0"/>
          <w:caps w:val="0"/>
          <w:color w:val="000000"/>
          <w:spacing w:val="0"/>
          <w:sz w:val="24"/>
          <w:szCs w:val="24"/>
          <w:highlight w:val="none"/>
          <w:u w:val="single"/>
        </w:rPr>
        <w:t>（采购人全称）</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乙方：</w:t>
      </w:r>
      <w:r>
        <w:rPr>
          <w:rFonts w:hint="eastAsia" w:ascii="宋体" w:hAnsi="宋体" w:eastAsia="宋体" w:cs="宋体"/>
          <w:i w:val="0"/>
          <w:caps w:val="0"/>
          <w:color w:val="000000"/>
          <w:spacing w:val="0"/>
          <w:sz w:val="24"/>
          <w:szCs w:val="24"/>
          <w:highlight w:val="none"/>
          <w:u w:val="single"/>
        </w:rPr>
        <w:t>（中标人全称）</w:t>
      </w:r>
      <w:r>
        <w:rPr>
          <w:rFonts w:hint="eastAsia" w:ascii="宋体" w:hAnsi="宋体" w:eastAsia="宋体" w:cs="宋体"/>
          <w:i w:val="0"/>
          <w:caps w:val="0"/>
          <w:color w:val="000000"/>
          <w:spacing w:val="0"/>
          <w:sz w:val="24"/>
          <w:szCs w:val="24"/>
          <w:highlight w:val="none"/>
        </w:rPr>
        <w:t> </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根据招标编号为</w:t>
      </w:r>
      <w:r>
        <w:rPr>
          <w:rFonts w:hint="eastAsia" w:ascii="宋体" w:hAnsi="宋体" w:eastAsia="宋体" w:cs="宋体"/>
          <w:i w:val="0"/>
          <w:caps w:val="0"/>
          <w:color w:val="000000"/>
          <w:spacing w:val="0"/>
          <w:sz w:val="24"/>
          <w:szCs w:val="24"/>
          <w:highlight w:val="none"/>
          <w:u w:val="single"/>
        </w:rPr>
        <w:t>            </w:t>
      </w:r>
      <w:r>
        <w:rPr>
          <w:rFonts w:hint="eastAsia" w:ascii="宋体" w:hAnsi="宋体" w:eastAsia="宋体" w:cs="宋体"/>
          <w:i w:val="0"/>
          <w:caps w:val="0"/>
          <w:color w:val="000000"/>
          <w:spacing w:val="0"/>
          <w:sz w:val="24"/>
          <w:szCs w:val="24"/>
          <w:highlight w:val="none"/>
        </w:rPr>
        <w:t>的</w:t>
      </w:r>
      <w:r>
        <w:rPr>
          <w:rFonts w:hint="eastAsia" w:ascii="宋体" w:hAnsi="宋体" w:eastAsia="宋体" w:cs="宋体"/>
          <w:i w:val="0"/>
          <w:caps w:val="0"/>
          <w:color w:val="000000"/>
          <w:spacing w:val="0"/>
          <w:sz w:val="24"/>
          <w:szCs w:val="24"/>
          <w:highlight w:val="none"/>
          <w:u w:val="single"/>
        </w:rPr>
        <w:t>（填写“项目名称”）</w:t>
      </w:r>
      <w:r>
        <w:rPr>
          <w:rFonts w:hint="eastAsia" w:ascii="宋体" w:hAnsi="宋体" w:eastAsia="宋体" w:cs="宋体"/>
          <w:i w:val="0"/>
          <w:caps w:val="0"/>
          <w:color w:val="000000"/>
          <w:spacing w:val="0"/>
          <w:sz w:val="24"/>
          <w:szCs w:val="24"/>
          <w:highlight w:val="none"/>
        </w:rPr>
        <w:t>项目（以下简称：“本项目”）的招标结果，乙方为中标人。现经甲乙双方友好协商，就以下事项达成一致并签订本合同：</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1、下列合同文件是构成本合同不可分割的部分：</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1.1合同条款；</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1.2招标文件、乙方的投标文件；</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1.3其他文件或材料：□无。□</w:t>
      </w:r>
      <w:r>
        <w:rPr>
          <w:rFonts w:hint="eastAsia" w:ascii="宋体" w:hAnsi="宋体" w:eastAsia="宋体" w:cs="宋体"/>
          <w:i w:val="0"/>
          <w:caps w:val="0"/>
          <w:color w:val="000000"/>
          <w:spacing w:val="0"/>
          <w:sz w:val="24"/>
          <w:szCs w:val="24"/>
          <w:highlight w:val="none"/>
          <w:u w:val="single"/>
        </w:rPr>
        <w:t>（按照实际情况编制填写需要增加的内容）</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2、合同标的</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u w:val="single"/>
        </w:rPr>
        <w:t>（按照实际情况编制填写，可以是表格或文字描述）</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3、合同总金额</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3.1合同总金额为人民币大写：</w:t>
      </w:r>
      <w:r>
        <w:rPr>
          <w:rFonts w:hint="eastAsia" w:ascii="宋体" w:hAnsi="宋体" w:eastAsia="宋体" w:cs="宋体"/>
          <w:i w:val="0"/>
          <w:caps w:val="0"/>
          <w:color w:val="000000"/>
          <w:spacing w:val="0"/>
          <w:sz w:val="24"/>
          <w:szCs w:val="24"/>
          <w:highlight w:val="none"/>
          <w:u w:val="single"/>
        </w:rPr>
        <w:t>              </w:t>
      </w:r>
      <w:r>
        <w:rPr>
          <w:rFonts w:hint="eastAsia" w:ascii="宋体" w:hAnsi="宋体" w:eastAsia="宋体" w:cs="宋体"/>
          <w:i w:val="0"/>
          <w:caps w:val="0"/>
          <w:color w:val="000000"/>
          <w:spacing w:val="0"/>
          <w:sz w:val="24"/>
          <w:szCs w:val="24"/>
          <w:highlight w:val="none"/>
        </w:rPr>
        <w:t>元（￥</w:t>
      </w:r>
      <w:r>
        <w:rPr>
          <w:rFonts w:hint="eastAsia" w:ascii="宋体" w:hAnsi="宋体" w:eastAsia="宋体" w:cs="宋体"/>
          <w:i w:val="0"/>
          <w:caps w:val="0"/>
          <w:color w:val="000000"/>
          <w:spacing w:val="0"/>
          <w:sz w:val="24"/>
          <w:szCs w:val="24"/>
          <w:highlight w:val="none"/>
          <w:u w:val="single"/>
        </w:rPr>
        <w:t>              </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4、合同标的交付时间、地点和条件</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4.1交付时间：</w:t>
      </w:r>
      <w:r>
        <w:rPr>
          <w:rFonts w:hint="eastAsia" w:ascii="宋体" w:hAnsi="宋体" w:eastAsia="宋体" w:cs="宋体"/>
          <w:i w:val="0"/>
          <w:caps w:val="0"/>
          <w:color w:val="000000"/>
          <w:spacing w:val="0"/>
          <w:sz w:val="24"/>
          <w:szCs w:val="24"/>
          <w:highlight w:val="none"/>
          <w:u w:val="single"/>
        </w:rPr>
        <w:t>                     </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4.2交付地点：</w:t>
      </w:r>
      <w:r>
        <w:rPr>
          <w:rFonts w:hint="eastAsia" w:ascii="宋体" w:hAnsi="宋体" w:eastAsia="宋体" w:cs="宋体"/>
          <w:i w:val="0"/>
          <w:caps w:val="0"/>
          <w:color w:val="000000"/>
          <w:spacing w:val="0"/>
          <w:sz w:val="24"/>
          <w:szCs w:val="24"/>
          <w:highlight w:val="none"/>
          <w:u w:val="single"/>
        </w:rPr>
        <w:t>                     </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4.3交付条件：</w:t>
      </w:r>
      <w:r>
        <w:rPr>
          <w:rFonts w:hint="eastAsia" w:ascii="宋体" w:hAnsi="宋体" w:eastAsia="宋体" w:cs="宋体"/>
          <w:i w:val="0"/>
          <w:caps w:val="0"/>
          <w:color w:val="000000"/>
          <w:spacing w:val="0"/>
          <w:sz w:val="24"/>
          <w:szCs w:val="24"/>
          <w:highlight w:val="none"/>
          <w:u w:val="single"/>
        </w:rPr>
        <w:t>                     </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5、合同标的应符合招标文件、乙方投标文件的规定或约定，具体如下：</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u w:val="single"/>
        </w:rPr>
        <w:t>（按照实际情况编制填写，可以是表格或文字描述）</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6、验收</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6.1验收应按照招标文件、乙方投标文件的规定或约定进行，具体如下：</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u w:val="single"/>
        </w:rPr>
        <w:t>（按照实际情况编制填写，可以是表格或文字描述）</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6.2本项目是否邀请其他投标人参与验收：</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□不邀请。□邀请，具体如下：</w:t>
      </w:r>
      <w:r>
        <w:rPr>
          <w:rFonts w:hint="eastAsia" w:ascii="宋体" w:hAnsi="宋体" w:eastAsia="宋体" w:cs="宋体"/>
          <w:i w:val="0"/>
          <w:caps w:val="0"/>
          <w:color w:val="000000"/>
          <w:spacing w:val="0"/>
          <w:sz w:val="24"/>
          <w:szCs w:val="24"/>
          <w:highlight w:val="none"/>
          <w:u w:val="single"/>
        </w:rPr>
        <w:t>（按照招标文件规定填写）</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7、合同款项的支付应按照招标文件的规定进行，具体如下：</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u w:val="single"/>
        </w:rPr>
        <w:t>（按照实际情况编制填写，可以是表格或文字描述，包括一次性支付或分期支付等）</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8、履约保证金</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□无。□有，具体如下：</w:t>
      </w:r>
      <w:r>
        <w:rPr>
          <w:rFonts w:hint="eastAsia" w:ascii="宋体" w:hAnsi="宋体" w:eastAsia="宋体" w:cs="宋体"/>
          <w:i w:val="0"/>
          <w:caps w:val="0"/>
          <w:color w:val="000000"/>
          <w:spacing w:val="0"/>
          <w:sz w:val="24"/>
          <w:szCs w:val="24"/>
          <w:highlight w:val="none"/>
          <w:u w:val="single"/>
        </w:rPr>
        <w:t>（按照招标文件规定填写）</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9、合同有效期</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u w:val="single"/>
        </w:rPr>
        <w:t>（按照实际情况编制填写，可以是表格或文字描述）</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10、违约责任</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u w:val="single"/>
        </w:rPr>
        <w:t>（按照实际情况编制填写，可以是表格或文字描述）</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11、知识产权</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eastAsia="宋体" w:cs="宋体"/>
          <w:i w:val="0"/>
          <w:caps w:val="0"/>
          <w:color w:val="000000"/>
          <w:spacing w:val="0"/>
          <w:sz w:val="24"/>
          <w:szCs w:val="24"/>
          <w:highlight w:val="none"/>
          <w:u w:val="single"/>
        </w:rPr>
        <w:t>（按照实际情况编制填写）</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12、解决争议的方法</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12.1甲、乙双方协商解决。</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12.2若协商解决不成，则通过下列途径之一解决：</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□提交仲裁委员会仲裁，具体如下：</w:t>
      </w:r>
      <w:r>
        <w:rPr>
          <w:rFonts w:hint="eastAsia" w:ascii="宋体" w:hAnsi="宋体" w:eastAsia="宋体" w:cs="宋体"/>
          <w:i w:val="0"/>
          <w:caps w:val="0"/>
          <w:color w:val="000000"/>
          <w:spacing w:val="0"/>
          <w:sz w:val="24"/>
          <w:szCs w:val="24"/>
          <w:highlight w:val="none"/>
          <w:u w:val="single"/>
        </w:rPr>
        <w:t>（按照实际情况编制填写）</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□向人民法院提起诉讼，具体如下：</w:t>
      </w:r>
      <w:r>
        <w:rPr>
          <w:rFonts w:hint="eastAsia" w:ascii="宋体" w:hAnsi="宋体" w:eastAsia="宋体" w:cs="宋体"/>
          <w:i w:val="0"/>
          <w:caps w:val="0"/>
          <w:color w:val="000000"/>
          <w:spacing w:val="0"/>
          <w:sz w:val="24"/>
          <w:szCs w:val="24"/>
          <w:highlight w:val="none"/>
          <w:u w:val="single"/>
        </w:rPr>
        <w:t>（按照实际情况编制填写）</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13、不可抗力</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13.2本合同中的不可抗力指不能预见、不能避免、不能克服的客观情况，包括但不限于：自然灾害如地震、台风、洪水、火灾及政府行为、法律规定或其适用的变化或其他任何无法预见、避免或控制的事件。</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14、合同条款</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u w:val="single"/>
        </w:rPr>
        <w:t>（按照实际情况编制填写。招标文件第五章已有规定的，双方均不得变更或调整；招标文件第五章未作规定的，双方可通过友好协商进行约定）</w:t>
      </w:r>
      <w:r>
        <w:rPr>
          <w:rFonts w:hint="eastAsia" w:ascii="宋体" w:hAnsi="宋体" w:eastAsia="宋体" w:cs="宋体"/>
          <w:i w:val="0"/>
          <w:caps w:val="0"/>
          <w:color w:val="000000"/>
          <w:spacing w:val="0"/>
          <w:sz w:val="24"/>
          <w:szCs w:val="24"/>
          <w:highlight w:val="none"/>
        </w:rPr>
        <w:t>。</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15、其他约定</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15.1合同文件与本合同具有同等法律效力。</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15.2本合同未尽事宜，双方可另行补充。</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15.3合同生效：自签订之日起生效；通过福建省政府采购网上公开信息系统采用电子形式签订合同的，签订之日以系统记载的双方使用各自CA证书在合同上加盖单位公章或合同章的日期中的最晚时间为准。</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15.4本合同一式</w:t>
      </w:r>
      <w:r>
        <w:rPr>
          <w:rFonts w:hint="eastAsia" w:ascii="宋体" w:hAnsi="宋体" w:eastAsia="宋体" w:cs="宋体"/>
          <w:i w:val="0"/>
          <w:caps w:val="0"/>
          <w:color w:val="000000"/>
          <w:spacing w:val="0"/>
          <w:sz w:val="24"/>
          <w:szCs w:val="24"/>
          <w:highlight w:val="none"/>
          <w:u w:val="single"/>
        </w:rPr>
        <w:t>（填写具体份数）</w:t>
      </w:r>
      <w:r>
        <w:rPr>
          <w:rFonts w:hint="eastAsia" w:ascii="宋体" w:hAnsi="宋体" w:eastAsia="宋体" w:cs="宋体"/>
          <w:i w:val="0"/>
          <w:caps w:val="0"/>
          <w:color w:val="000000"/>
          <w:spacing w:val="0"/>
          <w:sz w:val="24"/>
          <w:szCs w:val="24"/>
          <w:highlight w:val="none"/>
        </w:rPr>
        <w:t>份，经双方授权代表签字并盖章后生效。甲方、乙方各执</w:t>
      </w:r>
      <w:r>
        <w:rPr>
          <w:rFonts w:hint="eastAsia" w:ascii="宋体" w:hAnsi="宋体" w:eastAsia="宋体" w:cs="宋体"/>
          <w:i w:val="0"/>
          <w:caps w:val="0"/>
          <w:color w:val="000000"/>
          <w:spacing w:val="0"/>
          <w:sz w:val="24"/>
          <w:szCs w:val="24"/>
          <w:highlight w:val="none"/>
          <w:u w:val="single"/>
        </w:rPr>
        <w:t>（填写具体份数）</w:t>
      </w:r>
      <w:r>
        <w:rPr>
          <w:rFonts w:hint="eastAsia" w:ascii="宋体" w:hAnsi="宋体" w:eastAsia="宋体" w:cs="宋体"/>
          <w:i w:val="0"/>
          <w:caps w:val="0"/>
          <w:color w:val="000000"/>
          <w:spacing w:val="0"/>
          <w:sz w:val="24"/>
          <w:szCs w:val="24"/>
          <w:highlight w:val="none"/>
        </w:rPr>
        <w:t>份，送</w:t>
      </w:r>
      <w:r>
        <w:rPr>
          <w:rFonts w:hint="eastAsia" w:ascii="宋体" w:hAnsi="宋体" w:eastAsia="宋体" w:cs="宋体"/>
          <w:i w:val="0"/>
          <w:caps w:val="0"/>
          <w:color w:val="000000"/>
          <w:spacing w:val="0"/>
          <w:sz w:val="24"/>
          <w:szCs w:val="24"/>
          <w:highlight w:val="none"/>
          <w:u w:val="single"/>
        </w:rPr>
        <w:t>（填写需要备案的监管部门的全称）</w:t>
      </w:r>
      <w:r>
        <w:rPr>
          <w:rFonts w:hint="eastAsia" w:ascii="宋体" w:hAnsi="宋体" w:eastAsia="宋体" w:cs="宋体"/>
          <w:i w:val="0"/>
          <w:caps w:val="0"/>
          <w:color w:val="000000"/>
          <w:spacing w:val="0"/>
          <w:sz w:val="24"/>
          <w:szCs w:val="24"/>
          <w:highlight w:val="none"/>
        </w:rPr>
        <w:t>备案</w:t>
      </w:r>
      <w:r>
        <w:rPr>
          <w:rFonts w:hint="eastAsia" w:ascii="宋体" w:hAnsi="宋体" w:eastAsia="宋体" w:cs="宋体"/>
          <w:i w:val="0"/>
          <w:caps w:val="0"/>
          <w:color w:val="000000"/>
          <w:spacing w:val="0"/>
          <w:sz w:val="24"/>
          <w:szCs w:val="24"/>
          <w:highlight w:val="none"/>
          <w:u w:val="single"/>
        </w:rPr>
        <w:t>（填写具体份数）</w:t>
      </w:r>
      <w:r>
        <w:rPr>
          <w:rFonts w:hint="eastAsia" w:ascii="宋体" w:hAnsi="宋体" w:eastAsia="宋体" w:cs="宋体"/>
          <w:i w:val="0"/>
          <w:caps w:val="0"/>
          <w:color w:val="000000"/>
          <w:spacing w:val="0"/>
          <w:sz w:val="24"/>
          <w:szCs w:val="24"/>
          <w:highlight w:val="none"/>
        </w:rPr>
        <w:t>份，具有同等效力。</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15.5其他：□无。□</w:t>
      </w:r>
      <w:r>
        <w:rPr>
          <w:rFonts w:hint="eastAsia" w:ascii="宋体" w:hAnsi="宋体" w:eastAsia="宋体" w:cs="宋体"/>
          <w:i w:val="0"/>
          <w:caps w:val="0"/>
          <w:color w:val="000000"/>
          <w:spacing w:val="0"/>
          <w:sz w:val="24"/>
          <w:szCs w:val="24"/>
          <w:highlight w:val="none"/>
          <w:u w:val="single"/>
        </w:rPr>
        <w:t>（按照实际情况编制填写需要增加的内容）</w:t>
      </w:r>
      <w:r>
        <w:rPr>
          <w:rFonts w:hint="eastAsia" w:ascii="宋体" w:hAnsi="宋体" w:eastAsia="宋体" w:cs="宋体"/>
          <w:i w:val="0"/>
          <w:caps w:val="0"/>
          <w:color w:val="000000"/>
          <w:spacing w:val="0"/>
          <w:sz w:val="24"/>
          <w:szCs w:val="24"/>
          <w:highlight w:val="none"/>
        </w:rPr>
        <w:t>。</w:t>
      </w:r>
    </w:p>
    <w:p>
      <w:pPr>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br w:type="page"/>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84"/>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（以下无正文）</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 </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 </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甲方：                      乙方：</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住所：                      住所：</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单位负责人：                   单位负责人：</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 </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委托代理人：                   委托代理人：</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 </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联系方法：                    联系方法：</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开户银行：                    开户银行：</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账号：                      账号：</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 </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签订地点：</w:t>
      </w:r>
      <w:r>
        <w:rPr>
          <w:rFonts w:hint="eastAsia" w:ascii="宋体" w:hAnsi="宋体" w:eastAsia="宋体" w:cs="宋体"/>
          <w:i w:val="0"/>
          <w:caps w:val="0"/>
          <w:color w:val="000000"/>
          <w:spacing w:val="0"/>
          <w:sz w:val="24"/>
          <w:szCs w:val="24"/>
          <w:highlight w:val="none"/>
          <w:u w:val="single"/>
        </w:rPr>
        <w:t>                </w:t>
      </w:r>
    </w:p>
    <w:p>
      <w:pPr>
        <w:pStyle w:val="3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000000"/>
          <w:spacing w:val="0"/>
          <w:sz w:val="24"/>
          <w:szCs w:val="24"/>
          <w:highlight w:val="none"/>
        </w:rPr>
      </w:pPr>
      <w:r>
        <w:rPr>
          <w:rFonts w:hint="eastAsia" w:ascii="宋体" w:hAnsi="宋体" w:eastAsia="宋体" w:cs="宋体"/>
          <w:i w:val="0"/>
          <w:caps w:val="0"/>
          <w:color w:val="000000"/>
          <w:spacing w:val="0"/>
          <w:sz w:val="24"/>
          <w:szCs w:val="24"/>
          <w:highlight w:val="none"/>
        </w:rPr>
        <w:t>签订日期：</w:t>
      </w:r>
      <w:r>
        <w:rPr>
          <w:rFonts w:hint="eastAsia" w:ascii="宋体" w:hAnsi="宋体" w:eastAsia="宋体" w:cs="宋体"/>
          <w:i w:val="0"/>
          <w:caps w:val="0"/>
          <w:color w:val="000000"/>
          <w:spacing w:val="0"/>
          <w:sz w:val="24"/>
          <w:szCs w:val="24"/>
          <w:highlight w:val="none"/>
          <w:u w:val="single"/>
        </w:rPr>
        <w:t>    </w:t>
      </w:r>
      <w:r>
        <w:rPr>
          <w:rFonts w:hint="eastAsia" w:ascii="宋体" w:hAnsi="宋体" w:eastAsia="宋体" w:cs="宋体"/>
          <w:i w:val="0"/>
          <w:caps w:val="0"/>
          <w:color w:val="000000"/>
          <w:spacing w:val="0"/>
          <w:sz w:val="24"/>
          <w:szCs w:val="24"/>
          <w:highlight w:val="none"/>
        </w:rPr>
        <w:t>年</w:t>
      </w:r>
      <w:r>
        <w:rPr>
          <w:rFonts w:hint="eastAsia" w:ascii="宋体" w:hAnsi="宋体" w:eastAsia="宋体" w:cs="宋体"/>
          <w:i w:val="0"/>
          <w:caps w:val="0"/>
          <w:color w:val="000000"/>
          <w:spacing w:val="0"/>
          <w:sz w:val="24"/>
          <w:szCs w:val="24"/>
          <w:highlight w:val="none"/>
          <w:u w:val="single"/>
        </w:rPr>
        <w:t>   </w:t>
      </w:r>
      <w:r>
        <w:rPr>
          <w:rFonts w:hint="eastAsia" w:ascii="宋体" w:hAnsi="宋体" w:eastAsia="宋体" w:cs="宋体"/>
          <w:i w:val="0"/>
          <w:caps w:val="0"/>
          <w:color w:val="000000"/>
          <w:spacing w:val="0"/>
          <w:sz w:val="24"/>
          <w:szCs w:val="24"/>
          <w:highlight w:val="none"/>
        </w:rPr>
        <w:t>月</w:t>
      </w:r>
      <w:r>
        <w:rPr>
          <w:rFonts w:hint="eastAsia" w:ascii="宋体" w:hAnsi="宋体" w:eastAsia="宋体" w:cs="宋体"/>
          <w:i w:val="0"/>
          <w:caps w:val="0"/>
          <w:color w:val="000000"/>
          <w:spacing w:val="0"/>
          <w:sz w:val="24"/>
          <w:szCs w:val="24"/>
          <w:highlight w:val="none"/>
          <w:u w:val="single"/>
        </w:rPr>
        <w:t>   </w:t>
      </w:r>
      <w:r>
        <w:rPr>
          <w:rFonts w:hint="eastAsia" w:ascii="宋体" w:hAnsi="宋体" w:eastAsia="宋体" w:cs="宋体"/>
          <w:i w:val="0"/>
          <w:caps w:val="0"/>
          <w:color w:val="000000"/>
          <w:spacing w:val="0"/>
          <w:sz w:val="24"/>
          <w:szCs w:val="24"/>
          <w:highlight w:val="none"/>
        </w:rPr>
        <w:t>日</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b/>
          <w:color w:val="auto"/>
          <w:sz w:val="48"/>
          <w:szCs w:val="48"/>
          <w:highlight w:val="none"/>
        </w:rPr>
      </w:pPr>
      <w:r>
        <w:rPr>
          <w:rFonts w:hint="eastAsia" w:asciiTheme="minorEastAsia" w:hAnsiTheme="minorEastAsia" w:eastAsiaTheme="minorEastAsia" w:cstheme="minorEastAsia"/>
          <w:color w:val="auto"/>
          <w:sz w:val="24"/>
          <w:szCs w:val="24"/>
          <w:highlight w:val="none"/>
        </w:rPr>
        <w:br w:type="page"/>
      </w: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b/>
          <w:color w:val="auto"/>
          <w:sz w:val="48"/>
          <w:szCs w:val="48"/>
          <w:highlight w:val="none"/>
        </w:rPr>
      </w:pPr>
    </w:p>
    <w:p>
      <w:pPr>
        <w:keepNext w:val="0"/>
        <w:keepLines w:val="0"/>
        <w:pageBreakBefore w:val="0"/>
        <w:kinsoku/>
        <w:overflowPunct/>
        <w:autoSpaceDE/>
        <w:autoSpaceDN/>
        <w:bidi w:val="0"/>
        <w:spacing w:line="360" w:lineRule="auto"/>
        <w:jc w:val="center"/>
        <w:textAlignment w:val="auto"/>
        <w:outlineLvl w:val="0"/>
        <w:rPr>
          <w:rFonts w:hint="eastAsia" w:ascii="宋体" w:hAnsi="宋体" w:eastAsia="宋体" w:cs="宋体"/>
          <w:b/>
          <w:color w:val="auto"/>
          <w:sz w:val="52"/>
          <w:szCs w:val="52"/>
          <w:highlight w:val="none"/>
        </w:rPr>
      </w:pPr>
      <w:bookmarkStart w:id="146" w:name="_Toc492718104"/>
      <w:bookmarkStart w:id="147" w:name="_Toc14448"/>
      <w:r>
        <w:rPr>
          <w:rFonts w:hint="eastAsia" w:ascii="宋体" w:hAnsi="宋体" w:eastAsia="宋体" w:cs="宋体"/>
          <w:b/>
          <w:color w:val="auto"/>
          <w:sz w:val="52"/>
          <w:szCs w:val="52"/>
          <w:highlight w:val="none"/>
        </w:rPr>
        <w:t>第五章  投标文件格式</w:t>
      </w:r>
      <w:bookmarkEnd w:id="146"/>
      <w:bookmarkEnd w:id="147"/>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u w:val="single"/>
        </w:rPr>
      </w:pPr>
    </w:p>
    <w:p>
      <w:pPr>
        <w:pageBreakBefore w:val="0"/>
        <w:kinsoku/>
        <w:overflowPunct/>
        <w:bidi w:val="0"/>
        <w:spacing w:line="360" w:lineRule="auto"/>
        <w:jc w:val="left"/>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注释： </w:t>
      </w:r>
    </w:p>
    <w:p>
      <w:pPr>
        <w:pageBreakBefore w:val="0"/>
        <w:kinsoku/>
        <w:overflowPunct/>
        <w:bidi w:val="0"/>
        <w:spacing w:line="360" w:lineRule="auto"/>
        <w:ind w:firstLine="480" w:firstLineChars="200"/>
        <w:jc w:val="left"/>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1、本附件格式分“资格</w:t>
      </w:r>
      <w:r>
        <w:rPr>
          <w:rFonts w:hint="eastAsia" w:ascii="宋体" w:hAnsi="宋体" w:eastAsia="宋体" w:cs="宋体"/>
          <w:color w:val="auto"/>
          <w:sz w:val="24"/>
          <w:szCs w:val="24"/>
          <w:highlight w:val="none"/>
        </w:rPr>
        <w:t>及资信证明部分格式”</w:t>
      </w:r>
      <w:r>
        <w:rPr>
          <w:rFonts w:hint="eastAsia" w:ascii="宋体" w:hAnsi="宋体" w:eastAsia="宋体" w:cs="宋体"/>
          <w:color w:val="000000"/>
          <w:sz w:val="24"/>
          <w:szCs w:val="24"/>
          <w:highlight w:val="none"/>
        </w:rPr>
        <w:t xml:space="preserve">、“报价部分格式”和 “技术商务部分格式” </w:t>
      </w:r>
      <w:r>
        <w:rPr>
          <w:rFonts w:hint="eastAsia" w:ascii="宋体" w:hAnsi="宋体" w:eastAsia="宋体" w:cs="宋体"/>
          <w:b/>
          <w:bCs/>
          <w:color w:val="000000"/>
          <w:sz w:val="24"/>
          <w:szCs w:val="24"/>
          <w:highlight w:val="none"/>
        </w:rPr>
        <w:t>叁册</w:t>
      </w:r>
      <w:r>
        <w:rPr>
          <w:rFonts w:hint="eastAsia" w:ascii="宋体" w:hAnsi="宋体" w:eastAsia="宋体" w:cs="宋体"/>
          <w:color w:val="000000"/>
          <w:sz w:val="24"/>
          <w:szCs w:val="24"/>
          <w:highlight w:val="none"/>
        </w:rPr>
        <w:t>，装订时要求资格及</w:t>
      </w:r>
      <w:r>
        <w:rPr>
          <w:rFonts w:hint="eastAsia" w:ascii="宋体" w:hAnsi="宋体" w:eastAsia="宋体" w:cs="宋体"/>
          <w:color w:val="auto"/>
          <w:sz w:val="24"/>
          <w:szCs w:val="24"/>
          <w:highlight w:val="none"/>
        </w:rPr>
        <w:t>资信证明部分</w:t>
      </w:r>
      <w:r>
        <w:rPr>
          <w:rFonts w:hint="eastAsia" w:ascii="宋体" w:hAnsi="宋体" w:eastAsia="宋体" w:cs="宋体"/>
          <w:color w:val="000000"/>
          <w:sz w:val="24"/>
          <w:szCs w:val="24"/>
          <w:highlight w:val="none"/>
        </w:rPr>
        <w:t>、报价部分和技术商务部分均须单独胶装装订。</w:t>
      </w:r>
    </w:p>
    <w:p>
      <w:pPr>
        <w:pageBreakBefore w:val="0"/>
        <w:kinsoku/>
        <w:overflowPunct/>
        <w:bidi w:val="0"/>
        <w:spacing w:line="360" w:lineRule="auto"/>
        <w:ind w:firstLine="480" w:firstLineChars="200"/>
        <w:jc w:val="left"/>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2、附件格式仅供制作投标文件时参考，投标人应根据行业特点，结合本次招标技术规格要求，对有关表格进行补充或修改，但不得对实质性文件的相关条款作出变动。</w:t>
      </w:r>
    </w:p>
    <w:p>
      <w:pPr>
        <w:pStyle w:val="36"/>
        <w:pageBreakBefore w:val="0"/>
        <w:kinsoku/>
        <w:overflowPunct/>
        <w:bidi w:val="0"/>
        <w:spacing w:before="0" w:beforeLines="0" w:beforeAutospacing="0" w:after="0" w:afterLines="0" w:afterAutospacing="0" w:line="360" w:lineRule="auto"/>
        <w:outlineLvl w:val="9"/>
        <w:rPr>
          <w:rFonts w:hint="eastAsia" w:ascii="宋体" w:hAnsi="宋体" w:eastAsia="宋体" w:cs="宋体"/>
          <w:b/>
          <w:bCs/>
          <w:color w:val="000000"/>
          <w:sz w:val="24"/>
          <w:szCs w:val="24"/>
          <w:highlight w:val="none"/>
        </w:rPr>
      </w:pPr>
    </w:p>
    <w:p>
      <w:pPr>
        <w:pStyle w:val="36"/>
        <w:pageBreakBefore w:val="0"/>
        <w:kinsoku/>
        <w:overflowPunct/>
        <w:bidi w:val="0"/>
        <w:spacing w:before="0" w:beforeLines="0" w:beforeAutospacing="0" w:after="0" w:afterLines="0" w:afterAutospacing="0" w:line="360" w:lineRule="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★注意：</w:t>
      </w:r>
    </w:p>
    <w:p>
      <w:pPr>
        <w:pStyle w:val="36"/>
        <w:pageBreakBefore w:val="0"/>
        <w:kinsoku/>
        <w:overflowPunct/>
        <w:bidi w:val="0"/>
        <w:spacing w:before="0" w:beforeLines="0" w:beforeAutospacing="0" w:after="0" w:afterLines="0" w:afterAutospacing="0" w:line="360" w:lineRule="auto"/>
        <w:outlineLvl w:val="9"/>
        <w:rPr>
          <w:rFonts w:hint="eastAsia" w:ascii="宋体" w:hAnsi="宋体" w:eastAsia="宋体" w:cs="宋体"/>
          <w:b/>
          <w:bCs/>
          <w:color w:val="000000"/>
          <w:sz w:val="24"/>
          <w:szCs w:val="24"/>
          <w:highlight w:val="none"/>
        </w:rPr>
      </w:pPr>
      <w:bookmarkStart w:id="148" w:name="_Toc4122"/>
      <w:r>
        <w:rPr>
          <w:rFonts w:hint="eastAsia" w:ascii="宋体" w:hAnsi="宋体" w:eastAsia="宋体" w:cs="宋体"/>
          <w:b/>
          <w:bCs/>
          <w:color w:val="000000"/>
          <w:sz w:val="24"/>
          <w:szCs w:val="24"/>
          <w:highlight w:val="none"/>
        </w:rPr>
        <w:t>1.投标人在编制投标文件时，应编制目录、页码；</w:t>
      </w:r>
      <w:bookmarkEnd w:id="148"/>
    </w:p>
    <w:p>
      <w:pPr>
        <w:pStyle w:val="36"/>
        <w:pageBreakBefore w:val="0"/>
        <w:kinsoku/>
        <w:overflowPunct/>
        <w:bidi w:val="0"/>
        <w:spacing w:before="0" w:beforeLines="0" w:beforeAutospacing="0" w:after="0" w:afterLines="0" w:afterAutospacing="0" w:line="360" w:lineRule="auto"/>
        <w:outlineLvl w:val="9"/>
        <w:rPr>
          <w:rFonts w:hint="eastAsia" w:ascii="宋体" w:hAnsi="宋体" w:eastAsia="宋体" w:cs="宋体"/>
          <w:b/>
          <w:bCs/>
          <w:color w:val="000000"/>
          <w:sz w:val="24"/>
          <w:szCs w:val="24"/>
          <w:highlight w:val="none"/>
        </w:rPr>
      </w:pPr>
      <w:bookmarkStart w:id="149" w:name="_Toc7789"/>
      <w:r>
        <w:rPr>
          <w:rFonts w:hint="eastAsia" w:ascii="宋体" w:hAnsi="宋体" w:eastAsia="宋体" w:cs="宋体"/>
          <w:b/>
          <w:bCs/>
          <w:color w:val="000000"/>
          <w:sz w:val="24"/>
          <w:szCs w:val="24"/>
          <w:highlight w:val="none"/>
        </w:rPr>
        <w:t>2.投标人在编制投标文件时，应删除格式中“★注意” 等提示性的语言。</w:t>
      </w:r>
      <w:bookmarkEnd w:id="149"/>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u w:val="single"/>
        </w:rPr>
      </w:pPr>
    </w:p>
    <w:p>
      <w:pPr>
        <w:pageBreakBefore w:val="0"/>
        <w:kinsoku/>
        <w:overflowPunct/>
        <w:topLinePunct w:val="0"/>
        <w:autoSpaceDE/>
        <w:autoSpaceDN/>
        <w:bidi w:val="0"/>
        <w:adjustRightInd/>
        <w:spacing w:beforeAutospacing="0" w:afterAutospacing="0" w:line="360" w:lineRule="auto"/>
        <w:textAlignment w:val="auto"/>
        <w:outlineLvl w:val="9"/>
        <w:rPr>
          <w:rStyle w:val="43"/>
          <w:rFonts w:hint="eastAsia" w:ascii="宋体" w:hAnsi="宋体" w:eastAsia="宋体" w:cs="宋体"/>
          <w:b/>
          <w:color w:val="000000"/>
          <w:sz w:val="24"/>
          <w:szCs w:val="24"/>
          <w:highlight w:val="none"/>
        </w:rPr>
      </w:pPr>
      <w:r>
        <w:rPr>
          <w:rFonts w:hint="eastAsia" w:ascii="宋体" w:hAnsi="宋体" w:eastAsia="宋体" w:cs="宋体"/>
          <w:color w:val="auto"/>
          <w:sz w:val="24"/>
          <w:highlight w:val="none"/>
          <w:u w:val="single"/>
        </w:rPr>
        <w:br w:type="page"/>
      </w:r>
      <w:r>
        <w:rPr>
          <w:rFonts w:hint="eastAsia" w:ascii="宋体" w:hAnsi="宋体" w:eastAsia="宋体" w:cs="宋体"/>
          <w:color w:val="000000"/>
          <w:sz w:val="44"/>
          <w:szCs w:val="44"/>
          <w:highlight w:val="none"/>
        </w:rPr>
        <w:t>封面格式</w:t>
      </w:r>
    </w:p>
    <w:p>
      <w:pPr>
        <w:pageBreakBefore w:val="0"/>
        <w:kinsoku/>
        <w:overflowPunct/>
        <w:topLinePunct w:val="0"/>
        <w:autoSpaceDE/>
        <w:autoSpaceDN/>
        <w:bidi w:val="0"/>
        <w:adjustRightInd/>
        <w:spacing w:beforeAutospacing="0" w:afterAutospacing="0" w:line="360" w:lineRule="auto"/>
        <w:jc w:val="distribute"/>
        <w:textAlignment w:val="auto"/>
        <w:outlineLvl w:val="9"/>
        <w:rPr>
          <w:rStyle w:val="43"/>
          <w:rFonts w:hint="eastAsia" w:ascii="宋体" w:hAnsi="宋体" w:eastAsia="宋体" w:cs="宋体"/>
          <w:color w:val="000000"/>
          <w:sz w:val="24"/>
          <w:szCs w:val="24"/>
          <w:highlight w:val="none"/>
        </w:rPr>
      </w:pPr>
    </w:p>
    <w:p>
      <w:pPr>
        <w:pStyle w:val="38"/>
        <w:pageBreakBefore w:val="0"/>
        <w:kinsoku/>
        <w:overflowPunct/>
        <w:bidi w:val="0"/>
        <w:spacing w:line="360" w:lineRule="auto"/>
        <w:outlineLvl w:val="9"/>
        <w:rPr>
          <w:rStyle w:val="43"/>
          <w:rFonts w:hint="eastAsia" w:ascii="宋体" w:hAnsi="宋体" w:eastAsia="宋体" w:cs="宋体"/>
          <w:b w:val="0"/>
          <w:bCs w:val="0"/>
          <w:color w:val="000000"/>
          <w:sz w:val="24"/>
          <w:szCs w:val="24"/>
          <w:highlight w:val="none"/>
        </w:rPr>
      </w:pPr>
    </w:p>
    <w:p>
      <w:pPr>
        <w:pageBreakBefore w:val="0"/>
        <w:kinsoku/>
        <w:overflowPunct/>
        <w:bidi w:val="0"/>
        <w:spacing w:line="360" w:lineRule="auto"/>
        <w:outlineLvl w:val="9"/>
        <w:rPr>
          <w:rStyle w:val="43"/>
          <w:rFonts w:hint="eastAsia" w:ascii="宋体" w:hAnsi="宋体" w:eastAsia="宋体" w:cs="宋体"/>
          <w:color w:val="000000"/>
          <w:sz w:val="24"/>
          <w:szCs w:val="24"/>
          <w:highlight w:val="none"/>
        </w:rPr>
      </w:pPr>
    </w:p>
    <w:p>
      <w:pPr>
        <w:pStyle w:val="38"/>
        <w:pageBreakBefore w:val="0"/>
        <w:kinsoku/>
        <w:overflowPunct/>
        <w:bidi w:val="0"/>
        <w:spacing w:line="360" w:lineRule="auto"/>
        <w:outlineLvl w:val="9"/>
        <w:rPr>
          <w:rFonts w:hint="eastAsia"/>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72"/>
          <w:szCs w:val="72"/>
          <w:highlight w:val="none"/>
        </w:rPr>
      </w:pPr>
      <w:r>
        <w:rPr>
          <w:rFonts w:hint="eastAsia" w:ascii="宋体" w:hAnsi="宋体" w:eastAsia="宋体" w:cs="宋体"/>
          <w:b/>
          <w:color w:val="000000"/>
          <w:sz w:val="72"/>
          <w:szCs w:val="72"/>
          <w:highlight w:val="none"/>
        </w:rPr>
        <w:t>投  标  文  件</w:t>
      </w:r>
    </w:p>
    <w:p>
      <w:pPr>
        <w:pageBreakBefore w:val="0"/>
        <w:kinsoku/>
        <w:overflowPunct/>
        <w:topLinePunct w:val="0"/>
        <w:autoSpaceDE/>
        <w:autoSpaceDN/>
        <w:bidi w:val="0"/>
        <w:adjustRightInd/>
        <w:spacing w:beforeAutospacing="0" w:afterAutospacing="0" w:line="360" w:lineRule="auto"/>
        <w:jc w:val="center"/>
        <w:textAlignment w:val="auto"/>
        <w:outlineLvl w:val="1"/>
        <w:rPr>
          <w:rFonts w:hint="eastAsia" w:ascii="宋体" w:hAnsi="宋体" w:eastAsia="宋体" w:cs="宋体"/>
          <w:b/>
          <w:color w:val="000000"/>
          <w:sz w:val="72"/>
          <w:szCs w:val="72"/>
          <w:highlight w:val="none"/>
        </w:rPr>
      </w:pPr>
      <w:bookmarkStart w:id="150" w:name="_Toc31772"/>
      <w:r>
        <w:rPr>
          <w:rFonts w:hint="eastAsia" w:ascii="宋体" w:hAnsi="宋体" w:eastAsia="宋体" w:cs="宋体"/>
          <w:b/>
          <w:color w:val="000000"/>
          <w:sz w:val="72"/>
          <w:szCs w:val="72"/>
          <w:highlight w:val="none"/>
        </w:rPr>
        <w:t>（资格及资信证明部分）</w:t>
      </w:r>
      <w:bookmarkEnd w:id="150"/>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1205" w:firstLineChars="400"/>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项 目 名 称：</w:t>
      </w:r>
      <w:r>
        <w:rPr>
          <w:rFonts w:hint="eastAsia" w:ascii="宋体" w:hAnsi="宋体" w:eastAsia="宋体" w:cs="宋体"/>
          <w:b/>
          <w:color w:val="000000"/>
          <w:sz w:val="30"/>
          <w:szCs w:val="30"/>
          <w:highlight w:val="none"/>
          <w:u w:val="single"/>
        </w:rPr>
        <w:t xml:space="preserve">               </w:t>
      </w:r>
    </w:p>
    <w:p>
      <w:pPr>
        <w:pageBreakBefore w:val="0"/>
        <w:kinsoku/>
        <w:overflowPunct/>
        <w:topLinePunct w:val="0"/>
        <w:autoSpaceDE/>
        <w:autoSpaceDN/>
        <w:bidi w:val="0"/>
        <w:adjustRightInd/>
        <w:spacing w:beforeAutospacing="0" w:afterAutospacing="0" w:line="360" w:lineRule="auto"/>
        <w:ind w:firstLine="1205" w:firstLineChars="400"/>
        <w:textAlignment w:val="auto"/>
        <w:outlineLvl w:val="9"/>
        <w:rPr>
          <w:rFonts w:hint="eastAsia" w:ascii="宋体" w:hAnsi="宋体" w:eastAsia="宋体" w:cs="宋体"/>
          <w:b/>
          <w:color w:val="000000"/>
          <w:sz w:val="30"/>
          <w:szCs w:val="30"/>
          <w:highlight w:val="none"/>
          <w:u w:val="single"/>
        </w:rPr>
      </w:pPr>
      <w:r>
        <w:rPr>
          <w:rFonts w:hint="eastAsia" w:ascii="宋体" w:hAnsi="宋体" w:eastAsia="宋体" w:cs="宋体"/>
          <w:b/>
          <w:color w:val="000000"/>
          <w:sz w:val="30"/>
          <w:szCs w:val="30"/>
          <w:highlight w:val="none"/>
        </w:rPr>
        <w:t>招 标 编 号：</w:t>
      </w:r>
      <w:r>
        <w:rPr>
          <w:rFonts w:hint="eastAsia" w:ascii="宋体" w:hAnsi="宋体" w:eastAsia="宋体" w:cs="宋体"/>
          <w:b/>
          <w:color w:val="000000"/>
          <w:sz w:val="30"/>
          <w:szCs w:val="30"/>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 xml:space="preserve">        所投合同包：</w:t>
      </w:r>
      <w:r>
        <w:rPr>
          <w:rFonts w:hint="eastAsia" w:ascii="宋体" w:hAnsi="宋体" w:eastAsia="宋体" w:cs="宋体"/>
          <w:b/>
          <w:color w:val="000000"/>
          <w:sz w:val="30"/>
          <w:szCs w:val="30"/>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u w:val="single"/>
        </w:rPr>
      </w:pPr>
      <w:r>
        <w:rPr>
          <w:rFonts w:hint="eastAsia" w:ascii="宋体" w:hAnsi="宋体" w:eastAsia="宋体" w:cs="宋体"/>
          <w:b/>
          <w:color w:val="000000"/>
          <w:sz w:val="30"/>
          <w:szCs w:val="30"/>
          <w:highlight w:val="none"/>
        </w:rPr>
        <w:t xml:space="preserve">       投标人名称 ：</w:t>
      </w:r>
      <w:r>
        <w:rPr>
          <w:rFonts w:hint="eastAsia" w:ascii="宋体" w:hAnsi="宋体" w:eastAsia="宋体" w:cs="宋体"/>
          <w:b/>
          <w:color w:val="000000"/>
          <w:sz w:val="30"/>
          <w:szCs w:val="30"/>
          <w:highlight w:val="none"/>
          <w:u w:val="single"/>
        </w:rPr>
        <w:t xml:space="preserve"> （全称并加盖公章）</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 xml:space="preserve">       日      期 ：</w:t>
      </w:r>
      <w:r>
        <w:rPr>
          <w:rFonts w:hint="eastAsia" w:ascii="宋体" w:hAnsi="宋体" w:eastAsia="宋体" w:cs="宋体"/>
          <w:b/>
          <w:color w:val="000000"/>
          <w:sz w:val="30"/>
          <w:szCs w:val="30"/>
          <w:highlight w:val="none"/>
          <w:u w:val="single"/>
        </w:rPr>
        <w:t xml:space="preserve">               </w:t>
      </w: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b/>
          <w:color w:val="000000"/>
          <w:sz w:val="24"/>
          <w:szCs w:val="24"/>
          <w:highlight w:val="none"/>
        </w:rPr>
      </w:pPr>
    </w:p>
    <w:p>
      <w:pPr>
        <w:pStyle w:val="126"/>
        <w:pageBreakBefore w:val="0"/>
        <w:kinsoku/>
        <w:overflowPunct/>
        <w:topLinePunct w:val="0"/>
        <w:autoSpaceDE/>
        <w:autoSpaceDN/>
        <w:bidi w:val="0"/>
        <w:adjustRightInd/>
        <w:snapToGrid w:val="0"/>
        <w:spacing w:beforeAutospacing="0" w:afterAutospacing="0" w:line="360" w:lineRule="auto"/>
        <w:ind w:firstLine="0"/>
        <w:textAlignment w:val="auto"/>
        <w:outlineLvl w:val="9"/>
        <w:rPr>
          <w:rFonts w:hint="eastAsia" w:ascii="宋体" w:hAnsi="宋体" w:eastAsia="宋体" w:cs="宋体"/>
          <w:b/>
          <w:bCs/>
          <w:color w:val="000000"/>
          <w:sz w:val="24"/>
          <w:szCs w:val="24"/>
          <w:highlight w:val="none"/>
        </w:rPr>
      </w:pPr>
    </w:p>
    <w:p>
      <w:pPr>
        <w:pStyle w:val="126"/>
        <w:pageBreakBefore w:val="0"/>
        <w:kinsoku/>
        <w:overflowPunct/>
        <w:topLinePunct w:val="0"/>
        <w:autoSpaceDE/>
        <w:autoSpaceDN/>
        <w:bidi w:val="0"/>
        <w:adjustRightInd/>
        <w:snapToGrid w:val="0"/>
        <w:spacing w:beforeAutospacing="0" w:afterAutospacing="0" w:line="360" w:lineRule="auto"/>
        <w:ind w:firstLine="0"/>
        <w:jc w:val="center"/>
        <w:textAlignment w:val="auto"/>
        <w:outlineLvl w:val="9"/>
        <w:rPr>
          <w:rFonts w:hint="eastAsia" w:ascii="宋体" w:hAnsi="宋体" w:eastAsia="宋体" w:cs="宋体"/>
          <w:b/>
          <w:bCs/>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32"/>
          <w:szCs w:val="32"/>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32"/>
          <w:szCs w:val="32"/>
          <w:highlight w:val="none"/>
        </w:rPr>
      </w:pPr>
      <w:r>
        <w:rPr>
          <w:rFonts w:hint="eastAsia" w:ascii="宋体" w:hAnsi="宋体" w:eastAsia="宋体" w:cs="宋体"/>
          <w:b/>
          <w:color w:val="000000"/>
          <w:sz w:val="32"/>
          <w:szCs w:val="32"/>
          <w:highlight w:val="none"/>
        </w:rPr>
        <w:t>索</w:t>
      </w:r>
      <w:r>
        <w:rPr>
          <w:rFonts w:hint="eastAsia" w:ascii="宋体" w:hAnsi="宋体" w:eastAsia="宋体" w:cs="宋体"/>
          <w:b/>
          <w:color w:val="000000"/>
          <w:sz w:val="32"/>
          <w:szCs w:val="32"/>
          <w:highlight w:val="none"/>
          <w:lang w:val="en-US" w:eastAsia="zh-CN"/>
        </w:rPr>
        <w:t xml:space="preserve">  </w:t>
      </w:r>
      <w:r>
        <w:rPr>
          <w:rFonts w:hint="eastAsia" w:ascii="宋体" w:hAnsi="宋体" w:eastAsia="宋体" w:cs="宋体"/>
          <w:b/>
          <w:color w:val="000000"/>
          <w:sz w:val="32"/>
          <w:szCs w:val="32"/>
          <w:highlight w:val="none"/>
        </w:rPr>
        <w:t>引</w:t>
      </w:r>
    </w:p>
    <w:p>
      <w:pPr>
        <w:pStyle w:val="36"/>
        <w:pageBreakBefore w:val="0"/>
        <w:widowControl/>
        <w:kinsoku/>
        <w:overflowPunct/>
        <w:topLinePunct w:val="0"/>
        <w:autoSpaceDE/>
        <w:autoSpaceDN/>
        <w:bidi w:val="0"/>
        <w:adjustRightInd/>
        <w:spacing w:before="0" w:beforeLines="0" w:beforeAutospacing="0" w:after="0" w:afterLines="0" w:afterAutospacing="0" w:line="360" w:lineRule="auto"/>
        <w:ind w:left="-288" w:right="-288"/>
        <w:textAlignment w:val="auto"/>
        <w:outlineLvl w:val="9"/>
        <w:rPr>
          <w:rFonts w:hint="eastAsia" w:ascii="宋体" w:hAnsi="宋体" w:eastAsia="宋体" w:cs="宋体"/>
          <w:color w:val="000000"/>
          <w:sz w:val="24"/>
          <w:szCs w:val="24"/>
          <w:highlight w:val="none"/>
          <w:shd w:val="clear" w:color="auto" w:fill="FFFFFF"/>
        </w:rPr>
      </w:pPr>
    </w:p>
    <w:p>
      <w:pPr>
        <w:pStyle w:val="36"/>
        <w:pageBreakBefore w:val="0"/>
        <w:widowControl/>
        <w:kinsoku/>
        <w:overflowPunct/>
        <w:topLinePunct w:val="0"/>
        <w:autoSpaceDE/>
        <w:autoSpaceDN/>
        <w:bidi w:val="0"/>
        <w:adjustRightInd/>
        <w:spacing w:before="0" w:beforeLines="0" w:beforeAutospacing="0" w:after="0" w:afterLines="0" w:afterAutospacing="0" w:line="360" w:lineRule="auto"/>
        <w:ind w:left="-288" w:right="-288"/>
        <w:textAlignment w:val="auto"/>
        <w:outlineLvl w:val="9"/>
        <w:rPr>
          <w:rFonts w:hint="eastAsia" w:ascii="宋体" w:hAnsi="宋体" w:eastAsia="宋体" w:cs="宋体"/>
          <w:color w:val="000000"/>
          <w:sz w:val="24"/>
          <w:szCs w:val="24"/>
          <w:highlight w:val="none"/>
          <w:shd w:val="clear" w:color="auto" w:fill="FFFFFF"/>
        </w:rPr>
      </w:pPr>
    </w:p>
    <w:p>
      <w:pPr>
        <w:pStyle w:val="36"/>
        <w:pageBreakBefore w:val="0"/>
        <w:widowControl/>
        <w:kinsoku/>
        <w:overflowPunct/>
        <w:topLinePunct w:val="0"/>
        <w:autoSpaceDE/>
        <w:autoSpaceDN/>
        <w:bidi w:val="0"/>
        <w:adjustRightInd/>
        <w:spacing w:before="0" w:beforeLines="0" w:beforeAutospacing="0" w:after="0" w:afterLines="0" w:afterAutospacing="0" w:line="360" w:lineRule="auto"/>
        <w:ind w:left="-288" w:right="-288"/>
        <w:textAlignment w:val="auto"/>
        <w:outlineLvl w:val="9"/>
        <w:rPr>
          <w:rFonts w:hint="eastAsia" w:ascii="宋体" w:hAnsi="宋体" w:eastAsia="宋体" w:cs="宋体"/>
          <w:color w:val="000000"/>
          <w:sz w:val="24"/>
          <w:szCs w:val="24"/>
          <w:highlight w:val="none"/>
          <w:shd w:val="clear" w:color="auto" w:fill="FFFFFF"/>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一、投标函</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二、投标人的资格及资信证明文件</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三、保证金提交声明函</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四、退回投标保证金的申请函</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五、招标代理服务费承诺书</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br w:type="page"/>
      </w:r>
      <w:bookmarkStart w:id="151" w:name="_Toc22074"/>
      <w:bookmarkStart w:id="152" w:name="_Toc26567"/>
      <w:bookmarkStart w:id="153" w:name="_Toc20074"/>
      <w:bookmarkStart w:id="154" w:name="_Toc8429"/>
      <w:r>
        <w:rPr>
          <w:rStyle w:val="43"/>
          <w:rFonts w:hint="eastAsia" w:ascii="宋体" w:hAnsi="宋体" w:eastAsia="宋体" w:cs="宋体"/>
          <w:color w:val="000000"/>
          <w:sz w:val="30"/>
          <w:szCs w:val="30"/>
          <w:highlight w:val="none"/>
        </w:rPr>
        <w:t>一、投标函</w:t>
      </w:r>
      <w:bookmarkEnd w:id="151"/>
      <w:bookmarkEnd w:id="152"/>
      <w:bookmarkEnd w:id="153"/>
      <w:bookmarkEnd w:id="154"/>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致：(采购人或采购代理机构)</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兹收到贵单位关于</w:t>
      </w:r>
      <w:r>
        <w:rPr>
          <w:rFonts w:hint="eastAsia" w:ascii="宋体" w:hAnsi="宋体" w:eastAsia="宋体" w:cs="宋体"/>
          <w:color w:val="000000"/>
          <w:sz w:val="24"/>
          <w:szCs w:val="24"/>
          <w:highlight w:val="none"/>
          <w:u w:val="single"/>
        </w:rPr>
        <w:t>（填写“项目名称”）</w:t>
      </w:r>
      <w:r>
        <w:rPr>
          <w:rFonts w:hint="eastAsia" w:ascii="宋体" w:hAnsi="宋体" w:eastAsia="宋体" w:cs="宋体"/>
          <w:color w:val="000000"/>
          <w:sz w:val="24"/>
          <w:szCs w:val="24"/>
          <w:highlight w:val="none"/>
        </w:rPr>
        <w:t>项目（招标编号：</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）的投标邀请，本投标人代表</w:t>
      </w:r>
      <w:r>
        <w:rPr>
          <w:rFonts w:hint="eastAsia" w:ascii="宋体" w:hAnsi="宋体" w:eastAsia="宋体" w:cs="宋体"/>
          <w:color w:val="000000"/>
          <w:sz w:val="24"/>
          <w:szCs w:val="24"/>
          <w:highlight w:val="none"/>
          <w:u w:val="single"/>
        </w:rPr>
        <w:t>（填写“全名”）</w:t>
      </w:r>
      <w:r>
        <w:rPr>
          <w:rFonts w:hint="eastAsia" w:ascii="宋体" w:hAnsi="宋体" w:eastAsia="宋体" w:cs="宋体"/>
          <w:color w:val="000000"/>
          <w:sz w:val="24"/>
          <w:szCs w:val="24"/>
          <w:highlight w:val="none"/>
        </w:rPr>
        <w:t>已获得我方正式授权并代表投标人</w:t>
      </w:r>
      <w:r>
        <w:rPr>
          <w:rFonts w:hint="eastAsia" w:ascii="宋体" w:hAnsi="宋体" w:eastAsia="宋体" w:cs="宋体"/>
          <w:color w:val="000000"/>
          <w:sz w:val="24"/>
          <w:szCs w:val="24"/>
          <w:highlight w:val="none"/>
          <w:u w:val="single"/>
        </w:rPr>
        <w:t>（填写“全称”）</w:t>
      </w:r>
      <w:r>
        <w:rPr>
          <w:rFonts w:hint="eastAsia" w:ascii="宋体" w:hAnsi="宋体" w:eastAsia="宋体" w:cs="宋体"/>
          <w:color w:val="000000"/>
          <w:sz w:val="24"/>
          <w:szCs w:val="24"/>
          <w:highlight w:val="none"/>
        </w:rPr>
        <w:t>参加投标，并提交招标文件规定份数的投标文件正本和副本。我方提交的全部投标文件均由下述部分组成：</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（1）资格及资信证明部分</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①投标函</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②投标人的资格及资信证明文件</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③保证金提交声明函</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④退回投标保证金的申请函</w:t>
      </w:r>
    </w:p>
    <w:p>
      <w:pPr>
        <w:pStyle w:val="36"/>
        <w:pageBreakBefore w:val="0"/>
        <w:kinsoku/>
        <w:overflowPunct/>
        <w:topLinePunct w:val="0"/>
        <w:autoSpaceDE/>
        <w:autoSpaceDN/>
        <w:bidi w:val="0"/>
        <w:adjustRightInd/>
        <w:spacing w:before="0" w:beforeAutospacing="0" w:after="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⑤招标代理服务费承诺书</w:t>
      </w:r>
    </w:p>
    <w:p>
      <w:pPr>
        <w:pStyle w:val="36"/>
        <w:pageBreakBefore w:val="0"/>
        <w:kinsoku/>
        <w:overflowPunct/>
        <w:topLinePunct w:val="0"/>
        <w:autoSpaceDE/>
        <w:autoSpaceDN/>
        <w:bidi w:val="0"/>
        <w:adjustRightInd/>
        <w:spacing w:before="0" w:beforeAutospacing="0" w:after="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（2）报价部分</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 1 \* GB3 \* MERGEFORMAT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①</w:t>
      </w:r>
      <w:r>
        <w:rPr>
          <w:rFonts w:hint="eastAsia" w:ascii="宋体" w:hAnsi="宋体" w:eastAsia="宋体" w:cs="宋体"/>
          <w:color w:val="auto"/>
          <w:sz w:val="24"/>
          <w:highlight w:val="none"/>
        </w:rPr>
        <w:fldChar w:fldCharType="end"/>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开标一览表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 2 \* GB3 \* MERGEFORMAT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②</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报价一览表（最终报价表）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 3 \* GB3 \* MERGEFORMAT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③</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rPr>
        <w:t xml:space="preserve"> 投标分项报价表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 4 \* GB3 \* MERGEFORMAT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④</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val="zh-CN"/>
        </w:rPr>
        <w:t>招标文件规定的价格扣除证明材料（若有）</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（3）技术商务部分</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①标的说明一览表</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②技术参数偏离表和商务偏离表</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③质量保证及售后服务承诺书</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fldChar w:fldCharType="begin"/>
      </w:r>
      <w:r>
        <w:rPr>
          <w:rFonts w:hint="eastAsia" w:ascii="宋体" w:hAnsi="宋体" w:eastAsia="宋体" w:cs="宋体"/>
          <w:color w:val="000000"/>
          <w:sz w:val="24"/>
          <w:szCs w:val="24"/>
          <w:highlight w:val="none"/>
        </w:rPr>
        <w:instrText xml:space="preserve"> = 4 \* GB3 \* MERGEFORMAT </w:instrText>
      </w:r>
      <w:r>
        <w:rPr>
          <w:rFonts w:hint="eastAsia" w:ascii="宋体" w:hAnsi="宋体" w:eastAsia="宋体" w:cs="宋体"/>
          <w:color w:val="000000"/>
          <w:sz w:val="24"/>
          <w:szCs w:val="24"/>
          <w:highlight w:val="none"/>
        </w:rPr>
        <w:fldChar w:fldCharType="separate"/>
      </w:r>
      <w:r>
        <w:rPr>
          <w:rFonts w:hint="eastAsia" w:ascii="宋体" w:hAnsi="宋体" w:eastAsia="宋体" w:cs="宋体"/>
          <w:sz w:val="24"/>
          <w:szCs w:val="24"/>
          <w:highlight w:val="none"/>
        </w:rPr>
        <w:t>④</w:t>
      </w:r>
      <w:r>
        <w:rPr>
          <w:rFonts w:hint="eastAsia" w:ascii="宋体" w:hAnsi="宋体" w:eastAsia="宋体" w:cs="宋体"/>
          <w:color w:val="000000"/>
          <w:sz w:val="24"/>
          <w:szCs w:val="24"/>
          <w:highlight w:val="none"/>
        </w:rPr>
        <w:fldChar w:fldCharType="end"/>
      </w:r>
      <w:r>
        <w:rPr>
          <w:rFonts w:hint="eastAsia" w:ascii="宋体" w:hAnsi="宋体" w:eastAsia="宋体" w:cs="宋体"/>
          <w:color w:val="000000"/>
          <w:sz w:val="24"/>
          <w:szCs w:val="24"/>
          <w:highlight w:val="none"/>
        </w:rPr>
        <w:t>投标人提交的其他资料（若有）</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根据本函，本投标人代表宣布我方保证遵守招标文件的全部规定，同时：</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w:t>
      </w:r>
      <w:r>
        <w:rPr>
          <w:rStyle w:val="43"/>
          <w:rFonts w:hint="eastAsia" w:ascii="宋体" w:hAnsi="宋体" w:eastAsia="宋体" w:cs="宋体"/>
          <w:color w:val="000000"/>
          <w:sz w:val="24"/>
          <w:szCs w:val="24"/>
          <w:highlight w:val="none"/>
        </w:rPr>
        <w:t>确认：</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1.1所投合同包的投标报价详见“开标一览表”及“投标分项报价表”。</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1.2我方已详细审查全部招标文件[包括但不限于：有关附件（若有）、澄清或修改（若有）等]，并自行承担因对全部招标文件理解不正确或误解而产生的相应后果和责任。</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w:t>
      </w:r>
      <w:r>
        <w:rPr>
          <w:rStyle w:val="43"/>
          <w:rFonts w:hint="eastAsia" w:ascii="宋体" w:hAnsi="宋体" w:eastAsia="宋体" w:cs="宋体"/>
          <w:color w:val="000000"/>
          <w:sz w:val="24"/>
          <w:szCs w:val="24"/>
          <w:highlight w:val="none"/>
        </w:rPr>
        <w:t>承诺及声明：</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2.1我方具备招标文件第二章载明的“投标人的资格要求”且符合招标文件第二章载明的“3. 合格的投标人”之规定，否则</w:t>
      </w:r>
      <w:r>
        <w:rPr>
          <w:rStyle w:val="43"/>
          <w:rFonts w:hint="eastAsia" w:ascii="宋体" w:hAnsi="宋体" w:eastAsia="宋体" w:cs="宋体"/>
          <w:color w:val="000000"/>
          <w:sz w:val="24"/>
          <w:szCs w:val="24"/>
          <w:highlight w:val="none"/>
        </w:rPr>
        <w:t>投标无效。</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2.2我方提交的投标文件各组成部分的全部内容及资料是不可割离且真实、有效、准确、完整和不具有任何误导性的，否则产生不利后果由我方承担责任。</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2.3我方提供的标的价格不低于于同期市场价格，否则产生不利后果由我方承担责任。</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2.4投标保证金：若出现招标文件第二章规定的不予退还情形，同意贵单位不予退还。</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2.5投标有效期：按照招标文件第二章规定执行，并在招标文件第二章载明的期限内保持有效。</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2.6若中标，将按照招标文件、我方投标文件及政府采购合同履行责任和义务。</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2.7若贵单位要求，我方同意提供与本项目投标有关的一切资料、数据或文件，并完全理解贵单位不一定要接受最高的投标报价或收到的任何投标。</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2.8除招标文件另有规定外，对于贵单位按照下述联络方式发出的任何信息或通知，均视为我方已收悉前述信息或通知的全部内容：</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通信地址：</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邮编：</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联系方法：</w:t>
      </w:r>
      <w:r>
        <w:rPr>
          <w:rFonts w:hint="eastAsia" w:ascii="宋体" w:hAnsi="宋体" w:eastAsia="宋体" w:cs="宋体"/>
          <w:color w:val="000000"/>
          <w:sz w:val="24"/>
          <w:szCs w:val="24"/>
          <w:highlight w:val="none"/>
          <w:u w:val="single"/>
        </w:rPr>
        <w:t>（包括但不限于：联系人、联系电话、手机、传真、电子邮箱等）</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投标人代表签字：</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Style w:val="36"/>
        <w:pageBreakBefore w:val="0"/>
        <w:kinsoku/>
        <w:overflowPunct/>
        <w:topLinePunct w:val="0"/>
        <w:autoSpaceDE/>
        <w:autoSpaceDN/>
        <w:bidi w:val="0"/>
        <w:adjustRightInd/>
        <w:spacing w:before="0" w:beforeLines="0" w:beforeAutospacing="0" w:after="0" w:afterLines="0" w:afterAutospacing="0" w:line="360" w:lineRule="auto"/>
        <w:jc w:val="center"/>
        <w:textAlignment w:val="auto"/>
        <w:outlineLvl w:val="9"/>
        <w:rPr>
          <w:rFonts w:hint="eastAsia" w:ascii="宋体" w:hAnsi="宋体" w:eastAsia="宋体" w:cs="宋体"/>
          <w:b/>
          <w:bCs/>
          <w:color w:val="000000"/>
          <w:sz w:val="30"/>
          <w:szCs w:val="30"/>
          <w:highlight w:val="none"/>
        </w:rPr>
      </w:pPr>
      <w:r>
        <w:rPr>
          <w:rFonts w:hint="eastAsia" w:ascii="宋体" w:hAnsi="宋体" w:eastAsia="宋体" w:cs="宋体"/>
          <w:color w:val="000000"/>
          <w:sz w:val="24"/>
          <w:szCs w:val="24"/>
          <w:highlight w:val="none"/>
        </w:rPr>
        <w:br w:type="page"/>
      </w:r>
      <w:r>
        <w:rPr>
          <w:rFonts w:hint="eastAsia" w:ascii="宋体" w:hAnsi="宋体" w:eastAsia="宋体" w:cs="宋体"/>
          <w:b/>
          <w:bCs/>
          <w:color w:val="000000"/>
          <w:sz w:val="30"/>
          <w:szCs w:val="30"/>
          <w:highlight w:val="none"/>
        </w:rPr>
        <w:t>二、投标人的资格及资信证明文件</w:t>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二-1</w:t>
      </w:r>
      <w:r>
        <w:rPr>
          <w:rFonts w:hint="eastAsia" w:ascii="宋体" w:hAnsi="宋体" w:eastAsia="宋体" w:cs="宋体"/>
          <w:b/>
          <w:color w:val="000000"/>
          <w:sz w:val="30"/>
          <w:szCs w:val="30"/>
          <w:highlight w:val="none"/>
          <w:lang w:val="en-US" w:eastAsia="zh-CN"/>
        </w:rPr>
        <w:t xml:space="preserve"> </w:t>
      </w:r>
      <w:r>
        <w:rPr>
          <w:rFonts w:hint="eastAsia" w:ascii="宋体" w:hAnsi="宋体" w:eastAsia="宋体" w:cs="宋体"/>
          <w:b/>
          <w:color w:val="000000"/>
          <w:sz w:val="30"/>
          <w:szCs w:val="30"/>
          <w:highlight w:val="none"/>
        </w:rPr>
        <w:t>法人营业执照及相关资质证书</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致：(采购人或采购代理机构)</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现附上由</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（签发机关名称）签发的我方法人营业执照副本复印件，该执照真实有效。</w:t>
      </w: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现附上由</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（签发机关名称）签发的我方</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复印件，该证件真实有效。</w:t>
      </w: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w:t>
      </w:r>
      <w:r>
        <w:rPr>
          <w:rFonts w:hint="eastAsia" w:ascii="宋体" w:hAnsi="宋体" w:cs="宋体"/>
          <w:color w:val="000000"/>
          <w:sz w:val="24"/>
          <w:szCs w:val="24"/>
          <w:highlight w:val="none"/>
          <w:lang w:eastAsia="zh-CN"/>
        </w:rPr>
        <w:t>营业执照、</w:t>
      </w:r>
      <w:r>
        <w:rPr>
          <w:rFonts w:hint="eastAsia" w:ascii="宋体" w:hAnsi="宋体" w:eastAsia="宋体" w:cs="宋体"/>
          <w:color w:val="000000"/>
          <w:sz w:val="24"/>
          <w:szCs w:val="24"/>
          <w:highlight w:val="none"/>
        </w:rPr>
        <w:t>资质证书附后。</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投 标 人（全称并加盖公章）：</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ind w:firstLine="3000" w:firstLineChars="125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      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30"/>
          <w:szCs w:val="30"/>
          <w:highlight w:val="none"/>
        </w:rPr>
      </w:pPr>
      <w:r>
        <w:rPr>
          <w:rFonts w:hint="eastAsia" w:ascii="宋体" w:hAnsi="宋体" w:eastAsia="宋体" w:cs="宋体"/>
          <w:b/>
          <w:color w:val="000000"/>
          <w:sz w:val="24"/>
          <w:szCs w:val="24"/>
          <w:highlight w:val="none"/>
        </w:rPr>
        <w:br w:type="page"/>
      </w:r>
      <w:r>
        <w:rPr>
          <w:rFonts w:hint="eastAsia" w:ascii="宋体" w:hAnsi="宋体" w:eastAsia="宋体" w:cs="宋体"/>
          <w:b/>
          <w:color w:val="000000"/>
          <w:sz w:val="30"/>
          <w:szCs w:val="30"/>
          <w:highlight w:val="none"/>
        </w:rPr>
        <w:t>二-2法定代表人授权书</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致：(采购人或采购代理机构)</w:t>
      </w:r>
    </w:p>
    <w:p>
      <w:pPr>
        <w:pStyle w:val="50"/>
        <w:pageBreakBefore w:val="0"/>
        <w:kinsoku/>
        <w:overflowPunct/>
        <w:topLinePunct w:val="0"/>
        <w:autoSpaceDE/>
        <w:autoSpaceDN/>
        <w:bidi w:val="0"/>
        <w:adjustRightInd/>
        <w:snapToGrid w:val="0"/>
        <w:spacing w:beforeAutospacing="0" w:afterAutospacing="0" w:line="360" w:lineRule="auto"/>
        <w:ind w:firstLine="480"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u w:val="single"/>
        </w:rPr>
        <w:t>（投标方全称）</w:t>
      </w:r>
      <w:r>
        <w:rPr>
          <w:rFonts w:hint="eastAsia" w:ascii="宋体" w:hAnsi="宋体" w:eastAsia="宋体" w:cs="宋体"/>
          <w:color w:val="000000"/>
          <w:sz w:val="24"/>
          <w:szCs w:val="24"/>
          <w:highlight w:val="none"/>
        </w:rPr>
        <w:t>法定代表人</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授权</w:t>
      </w:r>
      <w:r>
        <w:rPr>
          <w:rFonts w:hint="eastAsia" w:ascii="宋体" w:hAnsi="宋体" w:eastAsia="宋体" w:cs="宋体"/>
          <w:color w:val="000000"/>
          <w:sz w:val="24"/>
          <w:szCs w:val="24"/>
          <w:highlight w:val="none"/>
          <w:u w:val="single"/>
        </w:rPr>
        <w:t xml:space="preserve">  （投标方代表姓名）</w:t>
      </w:r>
      <w:r>
        <w:rPr>
          <w:rFonts w:hint="eastAsia" w:ascii="宋体" w:hAnsi="宋体" w:eastAsia="宋体" w:cs="宋体"/>
          <w:color w:val="000000"/>
          <w:sz w:val="24"/>
          <w:szCs w:val="24"/>
          <w:highlight w:val="none"/>
        </w:rPr>
        <w:t>为投标方代表，代表本公司参加贵司组织的</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项目（招标编号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招标活动，全权代表本公司处理投标过程的一切事宜，包括但不限于：投标、参与谈判、签约等。投标方代表在投标过程中所签署的一切文件和处理与之有关的一切事务，本公司均予以认可并对此承担责任。投标方代表无转委托权。特此授权。</w:t>
      </w:r>
    </w:p>
    <w:p>
      <w:pPr>
        <w:pStyle w:val="50"/>
        <w:pageBreakBefore w:val="0"/>
        <w:kinsoku/>
        <w:overflowPunct/>
        <w:topLinePunct w:val="0"/>
        <w:autoSpaceDE/>
        <w:autoSpaceDN/>
        <w:bidi w:val="0"/>
        <w:adjustRightInd/>
        <w:snapToGrid w:val="0"/>
        <w:spacing w:beforeAutospacing="0" w:afterAutospacing="0" w:line="360" w:lineRule="auto"/>
        <w:ind w:firstLine="480"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本授权书自出具之日起生效。</w:t>
      </w:r>
    </w:p>
    <w:p>
      <w:pPr>
        <w:pStyle w:val="50"/>
        <w:pageBreakBefore w:val="0"/>
        <w:kinsoku/>
        <w:overflowPunct/>
        <w:topLinePunct w:val="0"/>
        <w:autoSpaceDE/>
        <w:autoSpaceDN/>
        <w:bidi w:val="0"/>
        <w:adjustRightInd/>
        <w:snapToGrid w:val="0"/>
        <w:spacing w:beforeAutospacing="0" w:afterAutospacing="0" w:line="360" w:lineRule="auto"/>
        <w:ind w:firstLine="480" w:firstLineChars="200"/>
        <w:jc w:val="left"/>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法定代表人：</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性别：</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手机号：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身份证号： </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投标代表：</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性别：</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手机号：</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身份证号：</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单位：</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部门：</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职务：</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详细通讯地址：</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b/>
          <w:bCs/>
          <w:color w:val="000000"/>
          <w:sz w:val="24"/>
          <w:szCs w:val="24"/>
          <w:highlight w:val="none"/>
        </w:rPr>
        <w:t xml:space="preserve"> </w:t>
      </w:r>
      <w:r>
        <w:rPr>
          <w:rFonts w:hint="eastAsia" w:ascii="宋体" w:hAnsi="宋体" w:eastAsia="宋体" w:cs="宋体"/>
          <w:color w:val="000000"/>
          <w:sz w:val="24"/>
          <w:szCs w:val="24"/>
          <w:highlight w:val="none"/>
        </w:rPr>
        <w:t>邮政编码:</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电话：</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授权方</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单位负责人签字或盖章：</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接受授权方</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投标代表签字：</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Lines="0" w:beforeAutospacing="0" w:after="0" w:afterLines="0" w:afterAutospacing="0" w:line="360" w:lineRule="auto"/>
        <w:jc w:val="righ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签署日期：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附：法定代表人、投标代表的身份证正反面复印件</w:t>
      </w:r>
    </w:p>
    <w:tbl>
      <w:tblPr>
        <w:tblStyle w:val="40"/>
        <w:tblW w:w="851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5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516" w:type="dxa"/>
            <w:tcBorders>
              <w:top w:val="nil"/>
              <w:left w:val="nil"/>
              <w:bottom w:val="nil"/>
              <w:right w:val="nil"/>
            </w:tcBorders>
            <w:tcMar>
              <w:left w:w="105" w:type="dxa"/>
              <w:right w:w="105" w:type="dxa"/>
            </w:tcMar>
            <w:vAlign w:val="top"/>
          </w:tcPr>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Style w:val="43"/>
                <w:rFonts w:hint="eastAsia" w:ascii="宋体" w:hAnsi="宋体" w:eastAsia="宋体" w:cs="宋体"/>
                <w:color w:val="000000"/>
                <w:sz w:val="24"/>
                <w:szCs w:val="24"/>
                <w:highlight w:val="none"/>
              </w:rPr>
              <w:t>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Style w:val="43"/>
                <w:rFonts w:hint="eastAsia" w:ascii="宋体" w:hAnsi="宋体" w:eastAsia="宋体" w:cs="宋体"/>
                <w:color w:val="000000"/>
                <w:sz w:val="24"/>
                <w:szCs w:val="24"/>
                <w:highlight w:val="none"/>
              </w:rPr>
              <w:t>要求：真实、有效、清晰 </w:t>
            </w:r>
          </w:p>
        </w:tc>
      </w:tr>
    </w:tbl>
    <w:p>
      <w:pPr>
        <w:pStyle w:val="103"/>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★注意：</w:t>
      </w:r>
    </w:p>
    <w:p>
      <w:pPr>
        <w:pStyle w:val="103"/>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投标代表是法定代表人无需</w:t>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color w:val="000000"/>
          <w:sz w:val="24"/>
          <w:szCs w:val="24"/>
          <w:highlight w:val="none"/>
        </w:rPr>
        <w:br w:type="page"/>
      </w:r>
      <w:bookmarkStart w:id="155" w:name="_Toc12052"/>
      <w:bookmarkStart w:id="156" w:name="_Toc21448"/>
      <w:bookmarkStart w:id="157" w:name="_Toc23381"/>
      <w:bookmarkStart w:id="158" w:name="_Toc13096"/>
      <w:r>
        <w:rPr>
          <w:rFonts w:hint="eastAsia" w:ascii="宋体" w:hAnsi="宋体" w:eastAsia="宋体" w:cs="宋体"/>
          <w:b/>
          <w:bCs/>
          <w:color w:val="000000"/>
          <w:sz w:val="30"/>
          <w:szCs w:val="30"/>
          <w:highlight w:val="none"/>
        </w:rPr>
        <w:t>二-3 有无行贿犯罪情形的说明或承诺</w:t>
      </w:r>
      <w:bookmarkEnd w:id="155"/>
      <w:bookmarkEnd w:id="156"/>
      <w:bookmarkEnd w:id="157"/>
      <w:bookmarkEnd w:id="158"/>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Cs/>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致：(采购人或采购代理机构)</w:t>
      </w: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w:t>
      </w: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★注意：</w:t>
      </w:r>
    </w:p>
    <w:p>
      <w:pPr>
        <w:pageBreakBefore w:val="0"/>
        <w:kinsoku/>
        <w:overflowPunct/>
        <w:topLinePunct w:val="0"/>
        <w:autoSpaceDE/>
        <w:autoSpaceDN/>
        <w:bidi w:val="0"/>
        <w:adjustRightInd/>
        <w:spacing w:beforeAutospacing="0" w:afterAutospacing="0" w:line="360" w:lineRule="auto"/>
        <w:ind w:firstLine="482" w:firstLineChars="200"/>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投标人须自行对其有无行贿犯罪情形进行说明或承诺（格式自拟），作为投标文件的一般资格证明文件。</w:t>
      </w:r>
    </w:p>
    <w:p>
      <w:pPr>
        <w:pageBreakBefore w:val="0"/>
        <w:kinsoku/>
        <w:overflowPunct/>
        <w:topLinePunct w:val="0"/>
        <w:autoSpaceDE/>
        <w:autoSpaceDN/>
        <w:bidi w:val="0"/>
        <w:adjustRightInd/>
        <w:spacing w:beforeAutospacing="0" w:afterAutospacing="0" w:line="360" w:lineRule="auto"/>
        <w:ind w:firstLine="482" w:firstLineChars="200"/>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（报价响应人编制报价响应文件时应删去上述各段话）</w:t>
      </w:r>
    </w:p>
    <w:p>
      <w:pPr>
        <w:pStyle w:val="36"/>
        <w:pageBreakBefore w:val="0"/>
        <w:kinsoku/>
        <w:overflowPunct/>
        <w:topLinePunct w:val="0"/>
        <w:autoSpaceDE/>
        <w:autoSpaceDN/>
        <w:bidi w:val="0"/>
        <w:adjustRightInd/>
        <w:spacing w:before="0" w:beforeLines="0" w:beforeAutospacing="0" w:after="0" w:afterLines="0" w:afterAutospacing="0" w:line="360" w:lineRule="auto"/>
        <w:jc w:val="center"/>
        <w:textAlignment w:val="auto"/>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br w:type="page"/>
      </w:r>
      <w:r>
        <w:rPr>
          <w:rFonts w:hint="eastAsia" w:ascii="宋体" w:hAnsi="宋体" w:eastAsia="宋体" w:cs="宋体"/>
          <w:b/>
          <w:color w:val="000000"/>
          <w:sz w:val="30"/>
          <w:szCs w:val="30"/>
          <w:highlight w:val="none"/>
        </w:rPr>
        <w:t>二-</w:t>
      </w:r>
      <w:r>
        <w:rPr>
          <w:rFonts w:hint="eastAsia" w:ascii="宋体" w:hAnsi="宋体" w:cs="宋体"/>
          <w:b/>
          <w:color w:val="000000"/>
          <w:sz w:val="30"/>
          <w:szCs w:val="30"/>
          <w:highlight w:val="none"/>
          <w:lang w:val="en-US" w:eastAsia="zh-CN"/>
        </w:rPr>
        <w:t>4</w:t>
      </w:r>
      <w:r>
        <w:rPr>
          <w:rFonts w:hint="eastAsia" w:ascii="宋体" w:hAnsi="宋体" w:eastAsia="宋体" w:cs="宋体"/>
          <w:b/>
          <w:color w:val="000000"/>
          <w:sz w:val="30"/>
          <w:szCs w:val="30"/>
          <w:highlight w:val="none"/>
        </w:rPr>
        <w:t xml:space="preserve"> 具备履行合同所必需的设备和专业技术能力的</w:t>
      </w:r>
      <w:r>
        <w:rPr>
          <w:rFonts w:hint="eastAsia" w:ascii="宋体" w:hAnsi="宋体" w:eastAsia="宋体" w:cs="宋体"/>
          <w:b/>
          <w:color w:val="000000"/>
          <w:sz w:val="30"/>
          <w:szCs w:val="30"/>
          <w:highlight w:val="none"/>
          <w:lang w:eastAsia="zh-CN"/>
        </w:rPr>
        <w:t>书面声明</w:t>
      </w: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p>
    <w:p>
      <w:pPr>
        <w:pStyle w:val="36"/>
        <w:keepLines w:val="0"/>
        <w:pageBreakBefore w:val="0"/>
        <w:widowControl/>
        <w:kinsoku/>
        <w:overflowPunct/>
        <w:topLinePunct w:val="0"/>
        <w:autoSpaceDE/>
        <w:autoSpaceDN/>
        <w:bidi w:val="0"/>
        <w:adjustRightInd/>
        <w:snapToGrid/>
        <w:spacing w:before="0" w:beforeLines="0" w:beforeAutospacing="0" w:after="0" w:afterLines="0" w:afterAutospacing="0" w:line="360" w:lineRule="auto"/>
        <w:ind w:left="0" w:leftChars="0" w:firstLine="562" w:firstLineChars="200"/>
        <w:jc w:val="center"/>
        <w:textAlignment w:val="auto"/>
        <w:outlineLvl w:val="9"/>
        <w:rPr>
          <w:rFonts w:hint="eastAsia" w:ascii="宋体" w:hAnsi="宋体" w:eastAsia="宋体" w:cs="宋体"/>
          <w:color w:val="auto"/>
          <w:sz w:val="28"/>
          <w:szCs w:val="28"/>
          <w:highlight w:val="none"/>
        </w:rPr>
      </w:pPr>
      <w:r>
        <w:rPr>
          <w:rStyle w:val="43"/>
          <w:rFonts w:hint="eastAsia" w:ascii="宋体" w:hAnsi="宋体" w:eastAsia="宋体" w:cs="宋体"/>
          <w:color w:val="auto"/>
          <w:sz w:val="28"/>
          <w:szCs w:val="28"/>
          <w:highlight w:val="none"/>
        </w:rPr>
        <w:t>声明函</w:t>
      </w:r>
    </w:p>
    <w:p>
      <w:pPr>
        <w:pStyle w:val="36"/>
        <w:keepLines w:val="0"/>
        <w:pageBreakBefore w:val="0"/>
        <w:widowControl/>
        <w:kinsoku/>
        <w:overflowPunct/>
        <w:topLinePunct w:val="0"/>
        <w:autoSpaceDE/>
        <w:autoSpaceDN/>
        <w:bidi w:val="0"/>
        <w:adjustRightInd/>
        <w:snapToGrid/>
        <w:spacing w:before="0" w:beforeLines="0" w:beforeAutospacing="0" w:after="0" w:afterLines="0" w:afterAutospacing="0" w:line="360" w:lineRule="auto"/>
        <w:textAlignment w:val="auto"/>
        <w:outlineLvl w:val="9"/>
        <w:rPr>
          <w:rFonts w:hint="eastAsia" w:ascii="宋体" w:hAnsi="宋体" w:eastAsia="宋体" w:cs="宋体"/>
          <w:color w:val="auto"/>
          <w:highlight w:val="none"/>
        </w:rPr>
      </w:pPr>
    </w:p>
    <w:p>
      <w:pPr>
        <w:pStyle w:val="36"/>
        <w:keepLines w:val="0"/>
        <w:pageBreakBefore w:val="0"/>
        <w:widowControl/>
        <w:kinsoku/>
        <w:overflowPunct/>
        <w:topLinePunct w:val="0"/>
        <w:autoSpaceDE/>
        <w:autoSpaceDN/>
        <w:bidi w:val="0"/>
        <w:adjustRightInd/>
        <w:snapToGrid/>
        <w:spacing w:before="0" w:beforeLines="0" w:beforeAutospacing="0" w:after="0" w:afterLines="0" w:afterAutospacing="0" w:line="360" w:lineRule="auto"/>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(采购人或采购代理机构)       </w:t>
      </w:r>
    </w:p>
    <w:p>
      <w:pPr>
        <w:pStyle w:val="36"/>
        <w:keepLines w:val="0"/>
        <w:pageBreakBefore w:val="0"/>
        <w:widowControl/>
        <w:kinsoku/>
        <w:overflowPunct/>
        <w:topLinePunct w:val="0"/>
        <w:autoSpaceDE/>
        <w:autoSpaceDN/>
        <w:bidi w:val="0"/>
        <w:adjustRightInd/>
        <w:snapToGrid/>
        <w:spacing w:before="0" w:beforeLines="0" w:beforeAutospacing="0" w:after="0" w:afterLines="0" w:afterAutospacing="0" w:line="360" w:lineRule="auto"/>
        <w:ind w:left="0" w:leftChars="0" w:firstLine="480" w:firstLineChars="200"/>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我方具备履行合同所必需的设备和专业技术能力，并对本声明承诺的真实性负责，否则产生不利后果由我方承担责任。</w:t>
      </w:r>
    </w:p>
    <w:p>
      <w:pPr>
        <w:pStyle w:val="36"/>
        <w:keepLines w:val="0"/>
        <w:pageBreakBefore w:val="0"/>
        <w:widowControl/>
        <w:kinsoku/>
        <w:overflowPunct/>
        <w:topLinePunct w:val="0"/>
        <w:autoSpaceDE/>
        <w:autoSpaceDN/>
        <w:bidi w:val="0"/>
        <w:adjustRightInd/>
        <w:snapToGrid/>
        <w:spacing w:before="0" w:beforeLines="0" w:beforeAutospacing="0" w:after="0" w:afterLines="0" w:afterAutospacing="0" w:line="360" w:lineRule="auto"/>
        <w:ind w:left="0" w:leftChars="0" w:firstLine="480" w:firstLineChars="200"/>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特此声明。</w:t>
      </w:r>
    </w:p>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br w:type="textWrapping"/>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Style w:val="36"/>
        <w:pageBreakBefore w:val="0"/>
        <w:kinsoku/>
        <w:overflowPunct/>
        <w:topLinePunct w:val="0"/>
        <w:autoSpaceDE/>
        <w:autoSpaceDN/>
        <w:bidi w:val="0"/>
        <w:adjustRightInd/>
        <w:spacing w:before="0" w:beforeLines="0" w:beforeAutospacing="0" w:after="0" w:afterLines="0" w:afterAutospacing="0" w:line="360" w:lineRule="auto"/>
        <w:ind w:left="420"/>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ind w:firstLine="420"/>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jc w:val="center"/>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30"/>
          <w:szCs w:val="30"/>
          <w:highlight w:val="none"/>
        </w:rPr>
        <w:br w:type="page"/>
      </w:r>
      <w:bookmarkStart w:id="159" w:name="_Toc15185"/>
      <w:bookmarkStart w:id="160" w:name="_Toc19362"/>
      <w:bookmarkStart w:id="161" w:name="_Toc18054"/>
      <w:bookmarkStart w:id="162" w:name="_Toc18912"/>
      <w:r>
        <w:rPr>
          <w:rFonts w:hint="eastAsia" w:ascii="宋体" w:hAnsi="宋体" w:eastAsia="宋体" w:cs="宋体"/>
          <w:b/>
          <w:bCs/>
          <w:color w:val="000000"/>
          <w:sz w:val="30"/>
          <w:szCs w:val="30"/>
          <w:highlight w:val="none"/>
        </w:rPr>
        <w:t>二-</w:t>
      </w:r>
      <w:r>
        <w:rPr>
          <w:rFonts w:hint="eastAsia" w:hAnsi="宋体" w:cs="宋体"/>
          <w:b/>
          <w:bCs/>
          <w:color w:val="000000"/>
          <w:sz w:val="30"/>
          <w:szCs w:val="30"/>
          <w:highlight w:val="none"/>
          <w:lang w:val="en-US" w:eastAsia="zh-CN"/>
        </w:rPr>
        <w:t>5</w:t>
      </w:r>
      <w:r>
        <w:rPr>
          <w:rFonts w:hint="eastAsia" w:ascii="宋体" w:hAnsi="宋体" w:eastAsia="宋体" w:cs="宋体"/>
          <w:b/>
          <w:bCs/>
          <w:color w:val="000000"/>
          <w:sz w:val="30"/>
          <w:szCs w:val="30"/>
          <w:highlight w:val="none"/>
        </w:rPr>
        <w:t>-1财务状况报告</w:t>
      </w:r>
      <w:bookmarkEnd w:id="159"/>
      <w:bookmarkEnd w:id="160"/>
      <w:bookmarkEnd w:id="161"/>
      <w:bookmarkEnd w:id="162"/>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b/>
          <w:color w:val="000000"/>
          <w:sz w:val="24"/>
          <w:szCs w:val="24"/>
          <w:highlight w:val="none"/>
        </w:rPr>
      </w:pPr>
    </w:p>
    <w:p>
      <w:pPr>
        <w:pageBreakBefore w:val="0"/>
        <w:widowControl/>
        <w:kinsoku/>
        <w:overflowPunct/>
        <w:topLinePunct w:val="0"/>
        <w:autoSpaceDE/>
        <w:autoSpaceDN/>
        <w:bidi w:val="0"/>
        <w:adjustRightInd/>
        <w:spacing w:beforeAutospacing="0" w:afterAutospacing="0" w:line="360" w:lineRule="auto"/>
        <w:ind w:firstLine="482"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rPr>
        <w:t>财务状况报告：</w:t>
      </w:r>
      <w:r>
        <w:rPr>
          <w:rFonts w:hint="eastAsia" w:ascii="宋体" w:hAnsi="宋体" w:eastAsia="宋体" w:cs="宋体"/>
          <w:color w:val="auto"/>
          <w:sz w:val="24"/>
          <w:highlight w:val="none"/>
        </w:rPr>
        <w:t>提供会计师事务所出具的2019年度财务审计报告</w:t>
      </w:r>
      <w:r>
        <w:rPr>
          <w:rFonts w:hint="eastAsia" w:ascii="宋体" w:hAnsi="宋体" w:eastAsia="宋体" w:cs="宋体"/>
          <w:color w:val="000000"/>
          <w:sz w:val="24"/>
          <w:szCs w:val="24"/>
          <w:highlight w:val="none"/>
        </w:rPr>
        <w:t>；或者提供开户许可证和投标截止时间前六个月内基本开户银行出具的资信证明；或者提供财政部门认可的政府采购专业担保机构出具的投标担保函</w:t>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widowControl/>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30"/>
          <w:szCs w:val="30"/>
          <w:highlight w:val="none"/>
        </w:rPr>
      </w:pPr>
      <w:r>
        <w:rPr>
          <w:rFonts w:hint="eastAsia" w:ascii="宋体" w:hAnsi="宋体" w:eastAsia="宋体" w:cs="宋体"/>
          <w:b/>
          <w:bCs/>
          <w:color w:val="000000"/>
          <w:sz w:val="30"/>
          <w:szCs w:val="30"/>
          <w:highlight w:val="none"/>
        </w:rPr>
        <w:t>二-</w:t>
      </w:r>
      <w:r>
        <w:rPr>
          <w:rFonts w:hint="eastAsia" w:ascii="宋体" w:hAnsi="宋体" w:cs="宋体"/>
          <w:b/>
          <w:bCs/>
          <w:color w:val="000000"/>
          <w:sz w:val="30"/>
          <w:szCs w:val="30"/>
          <w:highlight w:val="none"/>
          <w:lang w:val="en-US" w:eastAsia="zh-CN"/>
        </w:rPr>
        <w:t>5</w:t>
      </w:r>
      <w:r>
        <w:rPr>
          <w:rFonts w:hint="eastAsia" w:ascii="宋体" w:hAnsi="宋体" w:eastAsia="宋体" w:cs="宋体"/>
          <w:b/>
          <w:bCs/>
          <w:color w:val="000000"/>
          <w:sz w:val="30"/>
          <w:szCs w:val="30"/>
          <w:highlight w:val="none"/>
        </w:rPr>
        <w:t>-2 依法缴纳税收的相关证明材料</w:t>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widowControl/>
        <w:kinsoku/>
        <w:overflowPunct/>
        <w:topLinePunct w:val="0"/>
        <w:autoSpaceDE/>
        <w:autoSpaceDN/>
        <w:bidi w:val="0"/>
        <w:adjustRightInd/>
        <w:spacing w:beforeAutospacing="0" w:afterAutospacing="0" w:line="360" w:lineRule="auto"/>
        <w:ind w:firstLine="482"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rPr>
        <w:t>依法缴纳税收的相关材料：</w:t>
      </w:r>
      <w:r>
        <w:rPr>
          <w:rFonts w:hint="eastAsia" w:ascii="宋体" w:hAnsi="宋体" w:eastAsia="宋体" w:cs="宋体"/>
          <w:color w:val="000000"/>
          <w:sz w:val="24"/>
          <w:szCs w:val="24"/>
          <w:highlight w:val="none"/>
        </w:rPr>
        <w:t>提供投标截止时间前六个月任一个月的依法缴纳税收的凭据；或者提供依法免税的相应证明文件；</w:t>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widowControl/>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30"/>
          <w:szCs w:val="30"/>
          <w:highlight w:val="none"/>
        </w:rPr>
      </w:pPr>
      <w:r>
        <w:rPr>
          <w:rFonts w:hint="eastAsia" w:ascii="宋体" w:hAnsi="宋体" w:eastAsia="宋体" w:cs="宋体"/>
          <w:color w:val="000000"/>
          <w:sz w:val="24"/>
          <w:szCs w:val="24"/>
          <w:highlight w:val="none"/>
        </w:rPr>
        <w:br w:type="page"/>
      </w:r>
      <w:r>
        <w:rPr>
          <w:rFonts w:hint="eastAsia" w:ascii="宋体" w:hAnsi="宋体" w:eastAsia="宋体" w:cs="宋体"/>
          <w:b/>
          <w:bCs/>
          <w:color w:val="000000"/>
          <w:sz w:val="30"/>
          <w:szCs w:val="30"/>
          <w:highlight w:val="none"/>
        </w:rPr>
        <w:t>二-</w:t>
      </w:r>
      <w:r>
        <w:rPr>
          <w:rFonts w:hint="eastAsia" w:ascii="宋体" w:hAnsi="宋体" w:cs="宋体"/>
          <w:b/>
          <w:bCs/>
          <w:color w:val="000000"/>
          <w:sz w:val="30"/>
          <w:szCs w:val="30"/>
          <w:highlight w:val="none"/>
          <w:lang w:val="en-US" w:eastAsia="zh-CN"/>
        </w:rPr>
        <w:t>5</w:t>
      </w:r>
      <w:r>
        <w:rPr>
          <w:rFonts w:hint="eastAsia" w:ascii="宋体" w:hAnsi="宋体" w:eastAsia="宋体" w:cs="宋体"/>
          <w:b/>
          <w:bCs/>
          <w:color w:val="000000"/>
          <w:sz w:val="30"/>
          <w:szCs w:val="30"/>
          <w:highlight w:val="none"/>
        </w:rPr>
        <w:t>-3 依法缴纳社会保障资金的相关材料</w:t>
      </w:r>
    </w:p>
    <w:p>
      <w:pPr>
        <w:pageBreakBefore w:val="0"/>
        <w:widowControl/>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ageBreakBefore w:val="0"/>
        <w:widowControl/>
        <w:kinsoku/>
        <w:overflowPunct/>
        <w:topLinePunct w:val="0"/>
        <w:autoSpaceDE/>
        <w:autoSpaceDN/>
        <w:bidi w:val="0"/>
        <w:adjustRightInd/>
        <w:spacing w:beforeAutospacing="0" w:afterAutospacing="0" w:line="360" w:lineRule="auto"/>
        <w:ind w:firstLine="482"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rPr>
        <w:t>依法缴纳社会保障资金的相关材料：</w:t>
      </w:r>
      <w:r>
        <w:rPr>
          <w:rFonts w:hint="eastAsia" w:ascii="宋体" w:hAnsi="宋体" w:eastAsia="宋体" w:cs="宋体"/>
          <w:color w:val="000000"/>
          <w:sz w:val="24"/>
          <w:szCs w:val="24"/>
          <w:highlight w:val="none"/>
        </w:rPr>
        <w:t>提供投标截止时间前六个月任一个月的依法缴纳社会保障资金的凭据；或者提供依法不需要缴纳社会保障资金的相应证明文件。</w:t>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outlineLvl w:val="9"/>
        <w:rPr>
          <w:rFonts w:hint="eastAsia" w:ascii="宋体" w:hAnsi="宋体" w:eastAsia="宋体" w:cs="宋体"/>
          <w:b/>
          <w:bCs/>
          <w:color w:val="000000"/>
          <w:sz w:val="30"/>
          <w:szCs w:val="30"/>
          <w:highlight w:val="none"/>
        </w:rPr>
      </w:pPr>
    </w:p>
    <w:p>
      <w:pPr>
        <w:outlineLvl w:val="9"/>
        <w:rPr>
          <w:rFonts w:hint="eastAsia" w:ascii="宋体" w:hAnsi="宋体" w:eastAsia="宋体" w:cs="宋体"/>
          <w:b/>
          <w:bCs/>
          <w:color w:val="000000"/>
          <w:sz w:val="30"/>
          <w:szCs w:val="30"/>
          <w:highlight w:val="none"/>
        </w:rPr>
      </w:pPr>
      <w:r>
        <w:rPr>
          <w:rFonts w:hint="eastAsia" w:ascii="宋体" w:hAnsi="宋体" w:eastAsia="宋体" w:cs="宋体"/>
          <w:b/>
          <w:bCs/>
          <w:color w:val="000000"/>
          <w:sz w:val="30"/>
          <w:szCs w:val="30"/>
          <w:highlight w:val="none"/>
        </w:rPr>
        <w:br w:type="page"/>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30"/>
          <w:szCs w:val="30"/>
          <w:highlight w:val="none"/>
        </w:rPr>
      </w:pPr>
      <w:r>
        <w:rPr>
          <w:rFonts w:hint="eastAsia" w:ascii="宋体" w:hAnsi="宋体" w:eastAsia="宋体" w:cs="宋体"/>
          <w:b/>
          <w:bCs/>
          <w:color w:val="000000"/>
          <w:sz w:val="30"/>
          <w:szCs w:val="30"/>
          <w:highlight w:val="none"/>
        </w:rPr>
        <w:t>二-</w:t>
      </w:r>
      <w:r>
        <w:rPr>
          <w:rFonts w:hint="eastAsia" w:ascii="宋体" w:hAnsi="宋体" w:cs="宋体"/>
          <w:b/>
          <w:bCs/>
          <w:color w:val="000000"/>
          <w:sz w:val="30"/>
          <w:szCs w:val="30"/>
          <w:highlight w:val="none"/>
          <w:lang w:val="en-US" w:eastAsia="zh-CN"/>
        </w:rPr>
        <w:t>6</w:t>
      </w:r>
      <w:r>
        <w:rPr>
          <w:rFonts w:hint="eastAsia" w:ascii="宋体" w:hAnsi="宋体" w:eastAsia="宋体" w:cs="宋体"/>
          <w:b/>
          <w:bCs/>
          <w:color w:val="000000"/>
          <w:sz w:val="30"/>
          <w:szCs w:val="30"/>
          <w:highlight w:val="none"/>
        </w:rPr>
        <w:t xml:space="preserve"> 参加</w:t>
      </w:r>
      <w:r>
        <w:rPr>
          <w:rFonts w:hint="eastAsia" w:ascii="宋体" w:hAnsi="宋体" w:eastAsia="宋体" w:cs="宋体"/>
          <w:b/>
          <w:bCs/>
          <w:color w:val="000000"/>
          <w:sz w:val="30"/>
          <w:szCs w:val="30"/>
          <w:highlight w:val="none"/>
          <w:lang w:eastAsia="zh-CN"/>
        </w:rPr>
        <w:t>招标</w:t>
      </w:r>
      <w:r>
        <w:rPr>
          <w:rFonts w:hint="eastAsia" w:ascii="宋体" w:hAnsi="宋体" w:eastAsia="宋体" w:cs="宋体"/>
          <w:b/>
          <w:bCs/>
          <w:color w:val="000000"/>
          <w:sz w:val="30"/>
          <w:szCs w:val="30"/>
          <w:highlight w:val="none"/>
        </w:rPr>
        <w:t>活动前3年内在经营活动中没有</w:t>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30"/>
          <w:szCs w:val="30"/>
          <w:highlight w:val="none"/>
        </w:rPr>
      </w:pPr>
      <w:r>
        <w:rPr>
          <w:rFonts w:hint="eastAsia" w:ascii="宋体" w:hAnsi="宋体" w:eastAsia="宋体" w:cs="宋体"/>
          <w:b/>
          <w:bCs/>
          <w:color w:val="000000"/>
          <w:sz w:val="30"/>
          <w:szCs w:val="30"/>
          <w:highlight w:val="none"/>
        </w:rPr>
        <w:t>重大违法记录的书面声明</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致：(采购人或采购代理机构)</w:t>
      </w:r>
    </w:p>
    <w:p>
      <w:pPr>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                   </w:t>
      </w:r>
    </w:p>
    <w:p>
      <w:pPr>
        <w:pageBreakBefore w:val="0"/>
        <w:widowControl/>
        <w:kinsoku/>
        <w:overflowPunct/>
        <w:topLinePunct w:val="0"/>
        <w:autoSpaceDE/>
        <w:autoSpaceDN/>
        <w:bidi w:val="0"/>
        <w:adjustRightInd/>
        <w:spacing w:beforeAutospacing="0" w:afterAutospacing="0" w:line="360" w:lineRule="auto"/>
        <w:ind w:firstLine="420"/>
        <w:jc w:val="left"/>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参加</w:t>
      </w:r>
      <w:r>
        <w:rPr>
          <w:rFonts w:hint="eastAsia" w:ascii="宋体" w:hAnsi="宋体" w:eastAsia="宋体" w:cs="宋体"/>
          <w:color w:val="000000"/>
          <w:kern w:val="0"/>
          <w:sz w:val="24"/>
          <w:szCs w:val="24"/>
          <w:highlight w:val="none"/>
          <w:lang w:eastAsia="zh-CN"/>
        </w:rPr>
        <w:t>招标</w:t>
      </w:r>
      <w:r>
        <w:rPr>
          <w:rFonts w:hint="eastAsia" w:ascii="宋体" w:hAnsi="宋体" w:eastAsia="宋体" w:cs="宋体"/>
          <w:color w:val="000000"/>
          <w:kern w:val="0"/>
          <w:sz w:val="24"/>
          <w:szCs w:val="24"/>
          <w:highlight w:val="none"/>
        </w:rPr>
        <w:t>活动前三年内，我方在经营活动中没有重大违法记录，也无行贿犯罪记录，否则产生不利后果由我方承担责任。</w:t>
      </w:r>
    </w:p>
    <w:p>
      <w:pPr>
        <w:pageBreakBefore w:val="0"/>
        <w:kinsoku/>
        <w:overflowPunct/>
        <w:topLinePunct w:val="0"/>
        <w:autoSpaceDE/>
        <w:autoSpaceDN/>
        <w:bidi w:val="0"/>
        <w:adjustRightInd/>
        <w:spacing w:beforeAutospacing="0" w:afterAutospacing="0" w:line="360" w:lineRule="auto"/>
        <w:ind w:firstLine="480" w:firstLineChars="200"/>
        <w:jc w:val="left"/>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特此声明。</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br w:type="textWrapping"/>
      </w:r>
    </w:p>
    <w:p>
      <w:pPr>
        <w:pageBreakBefore w:val="0"/>
        <w:kinsoku/>
        <w:overflowPunct/>
        <w:topLinePunct w:val="0"/>
        <w:autoSpaceDE/>
        <w:autoSpaceDN/>
        <w:bidi w:val="0"/>
        <w:adjustRightInd/>
        <w:spacing w:beforeAutospacing="0" w:afterAutospacing="0" w:line="360" w:lineRule="auto"/>
        <w:ind w:firstLine="480"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kern w:val="0"/>
          <w:sz w:val="24"/>
          <w:szCs w:val="24"/>
          <w:highlight w:val="none"/>
        </w:rPr>
        <w:br w:type="textWrapping"/>
      </w:r>
      <w:r>
        <w:rPr>
          <w:rFonts w:hint="eastAsia" w:ascii="宋体" w:hAnsi="宋体" w:eastAsia="宋体" w:cs="宋体"/>
          <w:color w:val="000000"/>
          <w:kern w:val="0"/>
          <w:sz w:val="24"/>
          <w:szCs w:val="24"/>
          <w:highlight w:val="none"/>
        </w:rPr>
        <w:br w:type="textWrapping"/>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color w:val="000000"/>
          <w:sz w:val="24"/>
          <w:szCs w:val="24"/>
          <w:highlight w:val="none"/>
        </w:rPr>
        <w:br w:type="page"/>
      </w:r>
      <w:bookmarkStart w:id="163" w:name="_Toc28496"/>
      <w:bookmarkStart w:id="164" w:name="_Toc913"/>
      <w:bookmarkStart w:id="165" w:name="_Toc28463"/>
      <w:bookmarkStart w:id="166" w:name="_Toc2115"/>
      <w:r>
        <w:rPr>
          <w:rFonts w:hint="eastAsia" w:ascii="宋体" w:hAnsi="宋体" w:eastAsia="宋体" w:cs="宋体"/>
          <w:b/>
          <w:bCs/>
          <w:color w:val="000000"/>
          <w:sz w:val="24"/>
          <w:szCs w:val="24"/>
          <w:highlight w:val="none"/>
        </w:rPr>
        <w:t>投标人在投标截止时点前通过“信用中国”网站（www.creditchina.gov.cn）查询并打印相应的信用记录，投标人提供的查询结果应为其通过上述网站获取的信用信息查询结果原始页面的打印件（或截图）</w:t>
      </w:r>
      <w:bookmarkEnd w:id="163"/>
      <w:bookmarkEnd w:id="164"/>
      <w:bookmarkEnd w:id="165"/>
      <w:bookmarkEnd w:id="166"/>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color w:val="000000"/>
          <w:sz w:val="24"/>
          <w:szCs w:val="24"/>
          <w:highlight w:val="none"/>
        </w:rPr>
        <w:br w:type="page"/>
      </w:r>
      <w:bookmarkStart w:id="167" w:name="_Toc17464"/>
      <w:bookmarkStart w:id="168" w:name="_Toc3535"/>
      <w:bookmarkStart w:id="169" w:name="_Toc5444"/>
      <w:bookmarkStart w:id="170" w:name="_Toc27188"/>
      <w:r>
        <w:rPr>
          <w:rFonts w:hint="eastAsia" w:ascii="宋体" w:hAnsi="宋体" w:eastAsia="宋体" w:cs="宋体"/>
          <w:b/>
          <w:bCs/>
          <w:color w:val="000000"/>
          <w:sz w:val="24"/>
          <w:szCs w:val="24"/>
          <w:highlight w:val="none"/>
        </w:rPr>
        <w:t>投标人在投标截止时点前通过中国政府采购网（www.ccgp.gov.cn）查询并打印相应的信用记录，投标人提供的查询结果应为其通过上述网站获取的信用信息查询结果原始页面的打印件（或截图）</w:t>
      </w:r>
      <w:bookmarkEnd w:id="167"/>
      <w:bookmarkEnd w:id="168"/>
      <w:bookmarkEnd w:id="169"/>
      <w:bookmarkEnd w:id="170"/>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2" w:firstLineChars="200"/>
        <w:jc w:val="center"/>
        <w:textAlignment w:val="auto"/>
        <w:outlineLvl w:val="9"/>
        <w:rPr>
          <w:rFonts w:hint="eastAsia" w:ascii="宋体" w:hAnsi="宋体" w:eastAsia="宋体" w:cs="宋体"/>
          <w:b/>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Style w:val="219"/>
        <w:pageBreakBefore w:val="0"/>
        <w:kinsoku/>
        <w:overflowPunct/>
        <w:topLinePunct w:val="0"/>
        <w:bidi w:val="0"/>
        <w:adjustRightInd w:val="0"/>
        <w:snapToGrid w:val="0"/>
        <w:spacing w:afterAutospacing="0" w:line="360" w:lineRule="auto"/>
        <w:ind w:firstLine="472" w:firstLineChars="196"/>
        <w:outlineLvl w:val="9"/>
        <w:rPr>
          <w:rFonts w:hint="eastAsia" w:ascii="宋体" w:hAnsi="宋体" w:eastAsia="宋体" w:cs="宋体"/>
          <w:b/>
          <w:bCs/>
          <w:color w:val="000000"/>
          <w:kern w:val="0"/>
          <w:sz w:val="30"/>
          <w:szCs w:val="30"/>
          <w:highlight w:val="none"/>
        </w:rPr>
      </w:pPr>
      <w:r>
        <w:rPr>
          <w:rFonts w:hint="eastAsia" w:ascii="宋体" w:hAnsi="宋体" w:eastAsia="宋体" w:cs="宋体"/>
          <w:b/>
          <w:color w:val="000000"/>
          <w:sz w:val="24"/>
          <w:szCs w:val="24"/>
          <w:highlight w:val="none"/>
        </w:rPr>
        <w:br w:type="page"/>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30"/>
          <w:szCs w:val="30"/>
          <w:highlight w:val="none"/>
        </w:rPr>
      </w:pPr>
      <w:r>
        <w:rPr>
          <w:rFonts w:hint="eastAsia" w:ascii="宋体" w:hAnsi="宋体" w:eastAsia="宋体" w:cs="宋体"/>
          <w:b/>
          <w:bCs/>
          <w:color w:val="000000"/>
          <w:kern w:val="0"/>
          <w:sz w:val="30"/>
          <w:szCs w:val="30"/>
          <w:highlight w:val="none"/>
        </w:rPr>
        <w:t>二-</w:t>
      </w:r>
      <w:r>
        <w:rPr>
          <w:rFonts w:hint="eastAsia" w:ascii="宋体" w:hAnsi="宋体" w:cs="宋体"/>
          <w:b/>
          <w:bCs/>
          <w:color w:val="000000"/>
          <w:kern w:val="0"/>
          <w:sz w:val="30"/>
          <w:szCs w:val="30"/>
          <w:highlight w:val="none"/>
          <w:lang w:val="en-US" w:eastAsia="zh-CN"/>
        </w:rPr>
        <w:t>7</w:t>
      </w:r>
      <w:r>
        <w:rPr>
          <w:rFonts w:hint="eastAsia" w:ascii="宋体" w:hAnsi="宋体" w:eastAsia="宋体" w:cs="宋体"/>
          <w:b/>
          <w:bCs/>
          <w:color w:val="000000"/>
          <w:sz w:val="30"/>
          <w:szCs w:val="30"/>
          <w:highlight w:val="none"/>
        </w:rPr>
        <w:t>投标人提交的其他资格证明文件</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★注意：</w:t>
      </w:r>
    </w:p>
    <w:p>
      <w:pPr>
        <w:pageBreakBefore w:val="0"/>
        <w:kinsoku/>
        <w:overflowPunct/>
        <w:topLinePunct w:val="0"/>
        <w:autoSpaceDE/>
        <w:autoSpaceDN/>
        <w:bidi w:val="0"/>
        <w:adjustRightInd/>
        <w:spacing w:beforeAutospacing="0" w:afterAutospacing="0" w:line="360" w:lineRule="auto"/>
        <w:ind w:firstLine="720" w:firstLineChars="300"/>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color w:val="000000"/>
          <w:sz w:val="24"/>
          <w:szCs w:val="24"/>
          <w:highlight w:val="none"/>
        </w:rPr>
        <w:t>招标文件要求或投标人认为应提交的其他资格证明材料, 可在此附件中提交。</w:t>
      </w: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ab/>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xml:space="preserve">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24"/>
          <w:szCs w:val="24"/>
          <w:highlight w:val="none"/>
        </w:rPr>
        <w:br w:type="page"/>
      </w:r>
      <w:r>
        <w:rPr>
          <w:rFonts w:hint="eastAsia" w:ascii="宋体" w:hAnsi="宋体" w:eastAsia="宋体" w:cs="宋体"/>
          <w:b/>
          <w:color w:val="000000"/>
          <w:sz w:val="30"/>
          <w:szCs w:val="30"/>
          <w:highlight w:val="none"/>
        </w:rPr>
        <w:t>三、保证金提交声明函</w:t>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Style w:val="38"/>
        <w:pageBreakBefore w:val="0"/>
        <w:kinsoku/>
        <w:overflowPunct/>
        <w:bidi w:val="0"/>
        <w:spacing w:line="360" w:lineRule="auto"/>
        <w:jc w:val="both"/>
        <w:outlineLvl w:val="9"/>
        <w:rPr>
          <w:rFonts w:hint="eastAsia" w:ascii="宋体" w:hAnsi="宋体" w:eastAsia="宋体" w:cs="宋体"/>
          <w:color w:val="000000"/>
          <w:sz w:val="24"/>
          <w:szCs w:val="24"/>
          <w:highlight w:val="none"/>
        </w:rPr>
      </w:pPr>
      <w:bookmarkStart w:id="171" w:name="_Toc14692"/>
      <w:bookmarkStart w:id="172" w:name="_Toc25973"/>
      <w:bookmarkStart w:id="173" w:name="_Toc24492"/>
      <w:bookmarkStart w:id="174" w:name="_Toc20524"/>
      <w:r>
        <w:rPr>
          <w:rFonts w:hint="eastAsia" w:ascii="宋体" w:hAnsi="宋体" w:eastAsia="宋体" w:cs="宋体"/>
          <w:color w:val="000000"/>
          <w:sz w:val="24"/>
          <w:szCs w:val="24"/>
          <w:highlight w:val="none"/>
        </w:rPr>
        <w:t>致：福建省天海招标有限公司</w:t>
      </w:r>
      <w:bookmarkEnd w:id="171"/>
      <w:bookmarkEnd w:id="172"/>
      <w:bookmarkEnd w:id="173"/>
      <w:bookmarkEnd w:id="174"/>
    </w:p>
    <w:p>
      <w:pPr>
        <w:pStyle w:val="38"/>
        <w:pageBreakBefore w:val="0"/>
        <w:kinsoku/>
        <w:overflowPunct/>
        <w:bidi w:val="0"/>
        <w:spacing w:line="360" w:lineRule="auto"/>
        <w:outlineLvl w:val="9"/>
        <w:rPr>
          <w:rFonts w:hint="eastAsia" w:ascii="宋体" w:hAnsi="宋体" w:eastAsia="宋体" w:cs="宋体"/>
          <w:color w:val="000000"/>
          <w:sz w:val="24"/>
          <w:szCs w:val="24"/>
          <w:highlight w:val="none"/>
        </w:rPr>
      </w:pPr>
    </w:p>
    <w:p>
      <w:pPr>
        <w:pStyle w:val="50"/>
        <w:pageBreakBefore w:val="0"/>
        <w:kinsoku/>
        <w:overflowPunct/>
        <w:topLinePunct w:val="0"/>
        <w:autoSpaceDE/>
        <w:autoSpaceDN/>
        <w:bidi w:val="0"/>
        <w:adjustRightInd/>
        <w:snapToGrid w:val="0"/>
        <w:spacing w:beforeAutospacing="0" w:afterAutospacing="0" w:line="360" w:lineRule="auto"/>
        <w:ind w:firstLine="480"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我们在贵公司组织的</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项目招标中投标（招标编号：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），我们按招标文件的规定，以</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付款方式，向贵公司缴交投标保证金。</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bCs/>
          <w:color w:val="000000"/>
          <w:sz w:val="24"/>
          <w:szCs w:val="24"/>
          <w:highlight w:val="none"/>
        </w:rPr>
      </w:pPr>
    </w:p>
    <w:p>
      <w:pPr>
        <w:pageBreakBefore w:val="0"/>
        <w:tabs>
          <w:tab w:val="left" w:pos="795"/>
        </w:tabs>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ab/>
      </w:r>
      <w:r>
        <w:rPr>
          <w:rFonts w:hint="eastAsia" w:ascii="宋体" w:hAnsi="宋体" w:eastAsia="宋体" w:cs="宋体"/>
          <w:b/>
          <w:bCs/>
          <w:color w:val="000000"/>
          <w:sz w:val="24"/>
          <w:szCs w:val="24"/>
          <w:highlight w:val="none"/>
        </w:rPr>
        <w:t>附：</w:t>
      </w:r>
      <w:r>
        <w:rPr>
          <w:rFonts w:hint="eastAsia" w:ascii="宋体" w:hAnsi="宋体" w:eastAsia="宋体" w:cs="宋体"/>
          <w:color w:val="000000"/>
          <w:sz w:val="24"/>
          <w:szCs w:val="24"/>
          <w:highlight w:val="none"/>
        </w:rPr>
        <w:t>缴交投标保证金凭证复印件</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bCs/>
          <w:color w:val="000000"/>
          <w:sz w:val="24"/>
          <w:szCs w:val="24"/>
          <w:highlight w:val="none"/>
        </w:rPr>
      </w:pPr>
    </w:p>
    <w:tbl>
      <w:tblPr>
        <w:tblStyle w:val="40"/>
        <w:tblW w:w="82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0" w:hRule="atLeast"/>
          <w:jc w:val="center"/>
        </w:trPr>
        <w:tc>
          <w:tcPr>
            <w:tcW w:w="8229" w:type="dxa"/>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bCs/>
                <w:i/>
                <w:color w:val="000000"/>
                <w:sz w:val="24"/>
                <w:szCs w:val="24"/>
                <w:highlight w:val="none"/>
              </w:rPr>
            </w:pPr>
            <w:r>
              <w:rPr>
                <w:rFonts w:hint="eastAsia" w:ascii="宋体" w:hAnsi="宋体" w:eastAsia="宋体" w:cs="宋体"/>
                <w:i/>
                <w:color w:val="000000"/>
                <w:sz w:val="24"/>
                <w:szCs w:val="24"/>
                <w:highlight w:val="none"/>
              </w:rPr>
              <w:t>复印件粘贴处</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bCs/>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bCs/>
                <w:color w:val="000000"/>
                <w:sz w:val="24"/>
                <w:szCs w:val="24"/>
                <w:highlight w:val="none"/>
              </w:rPr>
            </w:pPr>
          </w:p>
        </w:tc>
      </w:tr>
    </w:tbl>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bCs/>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投标人</w:t>
      </w:r>
      <w:r>
        <w:rPr>
          <w:rFonts w:hint="eastAsia" w:ascii="宋体" w:hAnsi="宋体" w:eastAsia="宋体" w:cs="宋体"/>
          <w:color w:val="000000"/>
          <w:sz w:val="24"/>
          <w:szCs w:val="24"/>
          <w:highlight w:val="none"/>
        </w:rPr>
        <w:t>代表签字：</w:t>
      </w:r>
      <w:r>
        <w:rPr>
          <w:rFonts w:hint="eastAsia" w:ascii="宋体" w:hAnsi="宋体" w:eastAsia="宋体" w:cs="宋体"/>
          <w:color w:val="000000"/>
          <w:sz w:val="24"/>
          <w:szCs w:val="24"/>
          <w:highlight w:val="none"/>
          <w:u w:val="single"/>
        </w:rPr>
        <w:t>        </w:t>
      </w:r>
    </w:p>
    <w:p>
      <w:pPr>
        <w:pStyle w:val="50"/>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地址：__________________________</w:t>
      </w:r>
    </w:p>
    <w:p>
      <w:pPr>
        <w:pStyle w:val="50"/>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邮编：__________   电话：__________    传真：__________</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kern w:val="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b/>
          <w:color w:val="000000"/>
          <w:sz w:val="30"/>
          <w:szCs w:val="30"/>
          <w:highlight w:val="none"/>
        </w:rPr>
        <w:t>四、退回投标保证金的申请函</w:t>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sz w:val="24"/>
          <w:szCs w:val="24"/>
          <w:highlight w:val="none"/>
        </w:rPr>
        <w:t>致：福建省天海招标有限公司</w:t>
      </w:r>
    </w:p>
    <w:p>
      <w:pPr>
        <w:pageBreakBefore w:val="0"/>
        <w:kinsoku/>
        <w:overflowPunct/>
        <w:topLinePunct w:val="0"/>
        <w:autoSpaceDE/>
        <w:autoSpaceDN/>
        <w:bidi w:val="0"/>
        <w:adjustRightInd/>
        <w:spacing w:beforeAutospacing="0" w:afterAutospacing="0" w:line="360" w:lineRule="auto"/>
        <w:ind w:left="281" w:leftChars="134" w:firstLine="240" w:firstLineChars="1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兹有我公司参加贵公司</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日（开标时间）的</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（招标编号）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（项目名称)的招标活动中，本公司以</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（同城转帐/异地电汇）形式缴纳投标保证金（大写）</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（小写¥         ），我司中标后，已与采购方签订政府采购合同，请贵司给予办理退还投标保证金手续（或：我司未中标，依相关规定请贵公司给予退还投标保证金）。</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widowControl/>
        <w:kinsoku/>
        <w:overflowPunct/>
        <w:topLinePunct w:val="0"/>
        <w:autoSpaceDE/>
        <w:autoSpaceDN/>
        <w:bidi w:val="0"/>
        <w:adjustRightInd/>
        <w:spacing w:beforeAutospacing="0" w:afterAutospacing="0" w:line="360" w:lineRule="auto"/>
        <w:ind w:firstLine="480"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投标人全称（全称并加盖公章）：</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 xml:space="preserve"> </w:t>
      </w:r>
    </w:p>
    <w:p>
      <w:pPr>
        <w:pageBreakBefore w:val="0"/>
        <w:widowControl/>
        <w:kinsoku/>
        <w:overflowPunct/>
        <w:topLinePunct w:val="0"/>
        <w:autoSpaceDE/>
        <w:autoSpaceDN/>
        <w:bidi w:val="0"/>
        <w:adjustRightInd/>
        <w:spacing w:beforeAutospacing="0" w:afterAutospacing="0" w:line="360" w:lineRule="auto"/>
        <w:ind w:firstLine="480"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开户银行：</w:t>
      </w:r>
      <w:r>
        <w:rPr>
          <w:rFonts w:hint="eastAsia" w:ascii="宋体" w:hAnsi="宋体" w:eastAsia="宋体" w:cs="宋体"/>
          <w:color w:val="000000"/>
          <w:sz w:val="24"/>
          <w:szCs w:val="24"/>
          <w:highlight w:val="none"/>
          <w:u w:val="single"/>
        </w:rPr>
        <w:t>              </w:t>
      </w:r>
    </w:p>
    <w:p>
      <w:pPr>
        <w:pageBreakBefore w:val="0"/>
        <w:widowControl/>
        <w:kinsoku/>
        <w:overflowPunct/>
        <w:topLinePunct w:val="0"/>
        <w:autoSpaceDE/>
        <w:autoSpaceDN/>
        <w:bidi w:val="0"/>
        <w:adjustRightInd/>
        <w:spacing w:beforeAutospacing="0" w:afterAutospacing="0" w:line="360" w:lineRule="auto"/>
        <w:ind w:firstLine="480"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账    号：</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 xml:space="preserve">         </w:t>
      </w:r>
    </w:p>
    <w:p>
      <w:pPr>
        <w:pageBreakBefore w:val="0"/>
        <w:widowControl/>
        <w:kinsoku/>
        <w:overflowPunct/>
        <w:topLinePunct w:val="0"/>
        <w:autoSpaceDE/>
        <w:autoSpaceDN/>
        <w:bidi w:val="0"/>
        <w:adjustRightInd/>
        <w:spacing w:beforeAutospacing="0" w:afterAutospacing="0" w:line="360" w:lineRule="auto"/>
        <w:ind w:firstLine="480" w:firstLineChars="200"/>
        <w:jc w:val="left"/>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公司所属省份、市/县：</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 xml:space="preserve"> </w:t>
      </w:r>
    </w:p>
    <w:p>
      <w:pPr>
        <w:pageBreakBefore w:val="0"/>
        <w:widowControl/>
        <w:kinsoku/>
        <w:overflowPunct/>
        <w:topLinePunct w:val="0"/>
        <w:autoSpaceDE/>
        <w:autoSpaceDN/>
        <w:bidi w:val="0"/>
        <w:adjustRightInd/>
        <w:spacing w:beforeAutospacing="0" w:afterAutospacing="0" w:line="360" w:lineRule="auto"/>
        <w:jc w:val="right"/>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                        投标人（全称并加盖公章）： </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投标人代表签字：</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ind w:firstLine="2880" w:firstLineChars="1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邮 编：</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电 话：</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                        传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日 期： </w:t>
      </w:r>
      <w:r>
        <w:rPr>
          <w:rFonts w:hint="eastAsia" w:ascii="宋体" w:hAnsi="宋体" w:eastAsia="宋体" w:cs="宋体"/>
          <w:color w:val="000000"/>
          <w:sz w:val="24"/>
          <w:szCs w:val="24"/>
          <w:highlight w:val="none"/>
          <w:u w:val="single"/>
        </w:rPr>
        <w:t xml:space="preserve">         </w:t>
      </w:r>
    </w:p>
    <w:p>
      <w:pPr>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u w:val="single"/>
        </w:rPr>
        <w:br w:type="page"/>
      </w:r>
    </w:p>
    <w:p>
      <w:pPr>
        <w:pageBreakBefore w:val="0"/>
        <w:tabs>
          <w:tab w:val="left" w:pos="900"/>
          <w:tab w:val="left" w:pos="5166"/>
        </w:tabs>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bCs/>
          <w:color w:val="000000"/>
          <w:sz w:val="30"/>
          <w:szCs w:val="30"/>
          <w:highlight w:val="none"/>
        </w:rPr>
        <w:t>五、招标代理服务费承诺书</w:t>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致： 福建省天海招标有限公司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我们在贵公司组织的</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项目公开招标中投标（招标编号：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），如获中标，我们保证按公开招标文件的规定，以转账方式或经贵公司认可的其他付款方式，向贵公司缴交招标代理服务费。</w:t>
      </w: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我方如违反上述承诺，所提交的上述项目的投标保证金将不予退还我方，我方对此无异议。</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特此承诺！</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3240" w:firstLineChars="135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 投标人（全称并加盖公章）： </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                            投标人代表签字或盖章：</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ind w:firstLine="3360" w:firstLineChars="14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邮 编：</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电 话：</w:t>
      </w:r>
      <w:r>
        <w:rPr>
          <w:rFonts w:hint="eastAsia" w:ascii="宋体" w:hAnsi="宋体" w:eastAsia="宋体" w:cs="宋体"/>
          <w:color w:val="000000"/>
          <w:sz w:val="24"/>
          <w:szCs w:val="24"/>
          <w:highlight w:val="none"/>
          <w:u w:val="single"/>
        </w:rPr>
        <w:t xml:space="preserve">          </w:t>
      </w:r>
    </w:p>
    <w:p>
      <w:pPr>
        <w:pageBreakBefore w:val="0"/>
        <w:tabs>
          <w:tab w:val="left" w:pos="900"/>
          <w:tab w:val="left" w:pos="5166"/>
        </w:tabs>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                            传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日 期： </w:t>
      </w:r>
      <w:r>
        <w:rPr>
          <w:rFonts w:hint="eastAsia" w:ascii="宋体" w:hAnsi="宋体" w:eastAsia="宋体" w:cs="宋体"/>
          <w:color w:val="000000"/>
          <w:sz w:val="24"/>
          <w:szCs w:val="24"/>
          <w:highlight w:val="none"/>
          <w:u w:val="single"/>
        </w:rPr>
        <w:t xml:space="preserve">         </w:t>
      </w:r>
    </w:p>
    <w:p>
      <w:pPr>
        <w:pStyle w:val="38"/>
        <w:outlineLvl w:val="9"/>
        <w:rPr>
          <w:rFonts w:hint="eastAsia"/>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24"/>
          <w:szCs w:val="24"/>
          <w:highlight w:val="none"/>
        </w:rPr>
      </w:pPr>
    </w:p>
    <w:p>
      <w:pPr>
        <w:pageBreakBefore w:val="0"/>
        <w:tabs>
          <w:tab w:val="left" w:pos="900"/>
          <w:tab w:val="left" w:pos="5166"/>
        </w:tabs>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rPr>
        <w:br w:type="page"/>
      </w:r>
      <w:r>
        <w:rPr>
          <w:rStyle w:val="43"/>
          <w:rFonts w:hint="eastAsia" w:ascii="宋体" w:hAnsi="宋体" w:eastAsia="宋体" w:cs="宋体"/>
          <w:color w:val="000000"/>
          <w:sz w:val="44"/>
          <w:szCs w:val="44"/>
          <w:highlight w:val="none"/>
          <w:shd w:val="clear" w:color="auto" w:fill="FFFFFF"/>
        </w:rPr>
        <w:t>封面格式</w:t>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72"/>
          <w:szCs w:val="72"/>
          <w:highlight w:val="none"/>
        </w:rPr>
      </w:pPr>
      <w:r>
        <w:rPr>
          <w:rFonts w:hint="eastAsia" w:ascii="宋体" w:hAnsi="宋体" w:eastAsia="宋体" w:cs="宋体"/>
          <w:b/>
          <w:color w:val="000000"/>
          <w:sz w:val="72"/>
          <w:szCs w:val="72"/>
          <w:highlight w:val="none"/>
        </w:rPr>
        <w:t>投  标  文  件</w:t>
      </w:r>
    </w:p>
    <w:p>
      <w:pPr>
        <w:pageBreakBefore w:val="0"/>
        <w:kinsoku/>
        <w:overflowPunct/>
        <w:topLinePunct w:val="0"/>
        <w:autoSpaceDE/>
        <w:autoSpaceDN/>
        <w:bidi w:val="0"/>
        <w:adjustRightInd/>
        <w:spacing w:beforeAutospacing="0" w:afterAutospacing="0" w:line="360" w:lineRule="auto"/>
        <w:jc w:val="center"/>
        <w:textAlignment w:val="auto"/>
        <w:outlineLvl w:val="1"/>
        <w:rPr>
          <w:rFonts w:hint="eastAsia" w:ascii="宋体" w:hAnsi="宋体" w:eastAsia="宋体" w:cs="宋体"/>
          <w:b/>
          <w:color w:val="000000"/>
          <w:sz w:val="72"/>
          <w:szCs w:val="72"/>
          <w:highlight w:val="none"/>
        </w:rPr>
      </w:pPr>
      <w:bookmarkStart w:id="175" w:name="_Toc26210"/>
      <w:r>
        <w:rPr>
          <w:rFonts w:hint="eastAsia" w:ascii="宋体" w:hAnsi="宋体" w:eastAsia="宋体" w:cs="宋体"/>
          <w:b/>
          <w:color w:val="000000"/>
          <w:sz w:val="72"/>
          <w:szCs w:val="72"/>
          <w:highlight w:val="none"/>
        </w:rPr>
        <w:t>（报价部分）</w:t>
      </w:r>
      <w:bookmarkEnd w:id="175"/>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904" w:firstLineChars="300"/>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项 目 名 称：</w:t>
      </w:r>
      <w:r>
        <w:rPr>
          <w:rFonts w:hint="eastAsia" w:ascii="宋体" w:hAnsi="宋体" w:eastAsia="宋体" w:cs="宋体"/>
          <w:b/>
          <w:color w:val="000000"/>
          <w:sz w:val="30"/>
          <w:szCs w:val="30"/>
          <w:highlight w:val="none"/>
          <w:u w:val="single"/>
        </w:rPr>
        <w:t xml:space="preserve">               </w:t>
      </w:r>
    </w:p>
    <w:p>
      <w:pPr>
        <w:pageBreakBefore w:val="0"/>
        <w:kinsoku/>
        <w:overflowPunct/>
        <w:topLinePunct w:val="0"/>
        <w:autoSpaceDE/>
        <w:autoSpaceDN/>
        <w:bidi w:val="0"/>
        <w:adjustRightInd/>
        <w:spacing w:beforeAutospacing="0" w:afterAutospacing="0" w:line="360" w:lineRule="auto"/>
        <w:ind w:firstLine="904" w:firstLineChars="300"/>
        <w:textAlignment w:val="auto"/>
        <w:outlineLvl w:val="9"/>
        <w:rPr>
          <w:rFonts w:hint="eastAsia" w:ascii="宋体" w:hAnsi="宋体" w:eastAsia="宋体" w:cs="宋体"/>
          <w:b/>
          <w:color w:val="000000"/>
          <w:sz w:val="30"/>
          <w:szCs w:val="30"/>
          <w:highlight w:val="none"/>
          <w:u w:val="single"/>
        </w:rPr>
      </w:pPr>
      <w:r>
        <w:rPr>
          <w:rFonts w:hint="eastAsia" w:ascii="宋体" w:hAnsi="宋体" w:eastAsia="宋体" w:cs="宋体"/>
          <w:b/>
          <w:color w:val="000000"/>
          <w:sz w:val="30"/>
          <w:szCs w:val="30"/>
          <w:highlight w:val="none"/>
        </w:rPr>
        <w:t>招 标 编 号：</w:t>
      </w:r>
      <w:r>
        <w:rPr>
          <w:rFonts w:hint="eastAsia" w:ascii="宋体" w:hAnsi="宋体" w:eastAsia="宋体" w:cs="宋体"/>
          <w:b/>
          <w:color w:val="000000"/>
          <w:sz w:val="30"/>
          <w:szCs w:val="30"/>
          <w:highlight w:val="none"/>
          <w:u w:val="single"/>
        </w:rPr>
        <w:t xml:space="preserve">               </w:t>
      </w:r>
    </w:p>
    <w:p>
      <w:pPr>
        <w:pageBreakBefore w:val="0"/>
        <w:kinsoku/>
        <w:overflowPunct/>
        <w:topLinePunct w:val="0"/>
        <w:autoSpaceDE/>
        <w:autoSpaceDN/>
        <w:bidi w:val="0"/>
        <w:adjustRightInd/>
        <w:spacing w:beforeAutospacing="0" w:afterAutospacing="0" w:line="360" w:lineRule="auto"/>
        <w:ind w:firstLine="888" w:firstLineChars="295"/>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所投合同包：</w:t>
      </w:r>
      <w:r>
        <w:rPr>
          <w:rFonts w:hint="eastAsia" w:ascii="宋体" w:hAnsi="宋体" w:eastAsia="宋体" w:cs="宋体"/>
          <w:b/>
          <w:color w:val="000000"/>
          <w:sz w:val="30"/>
          <w:szCs w:val="30"/>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u w:val="single"/>
        </w:rPr>
      </w:pPr>
      <w:r>
        <w:rPr>
          <w:rFonts w:hint="eastAsia" w:ascii="宋体" w:hAnsi="宋体" w:eastAsia="宋体" w:cs="宋体"/>
          <w:b/>
          <w:color w:val="000000"/>
          <w:sz w:val="30"/>
          <w:szCs w:val="30"/>
          <w:highlight w:val="none"/>
        </w:rPr>
        <w:t xml:space="preserve">     投标人名称：</w:t>
      </w:r>
      <w:r>
        <w:rPr>
          <w:rFonts w:hint="eastAsia" w:ascii="宋体" w:hAnsi="宋体" w:eastAsia="宋体" w:cs="宋体"/>
          <w:b/>
          <w:color w:val="000000"/>
          <w:sz w:val="30"/>
          <w:szCs w:val="30"/>
          <w:highlight w:val="none"/>
          <w:u w:val="single"/>
        </w:rPr>
        <w:t xml:space="preserve"> （全称并加盖公章）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 xml:space="preserve">     日      期 ：</w:t>
      </w:r>
      <w:r>
        <w:rPr>
          <w:rFonts w:hint="eastAsia" w:ascii="宋体" w:hAnsi="宋体" w:eastAsia="宋体" w:cs="宋体"/>
          <w:b/>
          <w:color w:val="000000"/>
          <w:sz w:val="30"/>
          <w:szCs w:val="30"/>
          <w:highlight w:val="none"/>
          <w:u w:val="single"/>
        </w:rPr>
        <w:t xml:space="preserve">               </w:t>
      </w:r>
    </w:p>
    <w:p>
      <w:pPr>
        <w:pStyle w:val="126"/>
        <w:pageBreakBefore w:val="0"/>
        <w:kinsoku/>
        <w:overflowPunct/>
        <w:topLinePunct w:val="0"/>
        <w:autoSpaceDE/>
        <w:autoSpaceDN/>
        <w:bidi w:val="0"/>
        <w:adjustRightInd/>
        <w:snapToGrid w:val="0"/>
        <w:spacing w:beforeAutospacing="0" w:afterAutospacing="0" w:line="360" w:lineRule="auto"/>
        <w:ind w:firstLine="0"/>
        <w:textAlignment w:val="auto"/>
        <w:outlineLvl w:val="9"/>
        <w:rPr>
          <w:rFonts w:hint="eastAsia" w:ascii="宋体" w:hAnsi="宋体" w:eastAsia="宋体" w:cs="宋体"/>
          <w:b/>
          <w:bCs/>
          <w:color w:val="000000"/>
          <w:sz w:val="24"/>
          <w:szCs w:val="24"/>
          <w:highlight w:val="none"/>
        </w:rPr>
      </w:pPr>
    </w:p>
    <w:p>
      <w:pPr>
        <w:pStyle w:val="126"/>
        <w:pageBreakBefore w:val="0"/>
        <w:kinsoku/>
        <w:overflowPunct/>
        <w:topLinePunct w:val="0"/>
        <w:autoSpaceDE/>
        <w:autoSpaceDN/>
        <w:bidi w:val="0"/>
        <w:adjustRightInd/>
        <w:snapToGrid w:val="0"/>
        <w:spacing w:beforeAutospacing="0" w:afterAutospacing="0" w:line="360" w:lineRule="auto"/>
        <w:ind w:firstLine="663" w:firstLineChars="275"/>
        <w:jc w:val="center"/>
        <w:textAlignment w:val="auto"/>
        <w:outlineLvl w:val="9"/>
        <w:rPr>
          <w:rFonts w:hint="eastAsia" w:ascii="宋体" w:hAnsi="宋体" w:eastAsia="宋体" w:cs="宋体"/>
          <w:b/>
          <w:bCs/>
          <w:color w:val="000000"/>
          <w:sz w:val="24"/>
          <w:szCs w:val="24"/>
          <w:highlight w:val="none"/>
        </w:rPr>
      </w:pPr>
    </w:p>
    <w:p>
      <w:pPr>
        <w:pStyle w:val="126"/>
        <w:pageBreakBefore w:val="0"/>
        <w:kinsoku/>
        <w:overflowPunct/>
        <w:topLinePunct w:val="0"/>
        <w:autoSpaceDE/>
        <w:autoSpaceDN/>
        <w:bidi w:val="0"/>
        <w:adjustRightInd/>
        <w:snapToGrid w:val="0"/>
        <w:spacing w:beforeAutospacing="0" w:afterAutospacing="0" w:line="360" w:lineRule="auto"/>
        <w:ind w:firstLine="663" w:firstLineChars="275"/>
        <w:jc w:val="center"/>
        <w:textAlignment w:val="auto"/>
        <w:outlineLvl w:val="9"/>
        <w:rPr>
          <w:rFonts w:hint="eastAsia" w:ascii="宋体" w:hAnsi="宋体" w:eastAsia="宋体" w:cs="宋体"/>
          <w:b/>
          <w:bCs/>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jc w:val="center"/>
        <w:textAlignment w:val="auto"/>
        <w:outlineLvl w:val="9"/>
        <w:rPr>
          <w:rStyle w:val="43"/>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jc w:val="center"/>
        <w:textAlignment w:val="auto"/>
        <w:outlineLvl w:val="9"/>
        <w:rPr>
          <w:rFonts w:hint="eastAsia" w:ascii="宋体" w:hAnsi="宋体" w:eastAsia="宋体" w:cs="宋体"/>
          <w:color w:val="000000"/>
          <w:sz w:val="32"/>
          <w:szCs w:val="32"/>
          <w:highlight w:val="none"/>
        </w:rPr>
      </w:pPr>
      <w:r>
        <w:rPr>
          <w:rStyle w:val="43"/>
          <w:rFonts w:hint="eastAsia" w:ascii="宋体" w:hAnsi="宋体" w:eastAsia="宋体" w:cs="宋体"/>
          <w:color w:val="000000"/>
          <w:sz w:val="32"/>
          <w:szCs w:val="32"/>
          <w:highlight w:val="none"/>
        </w:rPr>
        <w:t>索</w:t>
      </w:r>
      <w:r>
        <w:rPr>
          <w:rStyle w:val="43"/>
          <w:rFonts w:hint="eastAsia" w:ascii="宋体" w:hAnsi="宋体" w:eastAsia="宋体" w:cs="宋体"/>
          <w:color w:val="000000"/>
          <w:sz w:val="32"/>
          <w:szCs w:val="32"/>
          <w:highlight w:val="none"/>
          <w:lang w:val="en-US" w:eastAsia="zh-CN"/>
        </w:rPr>
        <w:t xml:space="preserve"> </w:t>
      </w:r>
      <w:r>
        <w:rPr>
          <w:rStyle w:val="43"/>
          <w:rFonts w:hint="eastAsia" w:ascii="宋体" w:hAnsi="宋体" w:eastAsia="宋体" w:cs="宋体"/>
          <w:color w:val="000000"/>
          <w:sz w:val="32"/>
          <w:szCs w:val="32"/>
          <w:highlight w:val="none"/>
        </w:rPr>
        <w:t>引</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eastAsia="zh-CN"/>
        </w:rPr>
        <w:t>一、</w:t>
      </w:r>
      <w:r>
        <w:rPr>
          <w:rFonts w:hint="eastAsia" w:ascii="宋体" w:hAnsi="宋体" w:eastAsia="宋体" w:cs="宋体"/>
          <w:color w:val="auto"/>
          <w:sz w:val="24"/>
          <w:highlight w:val="none"/>
        </w:rPr>
        <w:t>开标一览表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eastAsia="zh-CN"/>
        </w:rPr>
        <w:t>一</w:t>
      </w:r>
      <w:r>
        <w:rPr>
          <w:rFonts w:hint="eastAsia" w:ascii="宋体" w:hAnsi="宋体" w:cs="宋体"/>
          <w:color w:val="auto"/>
          <w:sz w:val="24"/>
          <w:highlight w:val="none"/>
          <w:lang w:val="en-US" w:eastAsia="zh-CN"/>
        </w:rPr>
        <w:t xml:space="preserve"> -1  </w:t>
      </w:r>
      <w:r>
        <w:rPr>
          <w:rFonts w:hint="eastAsia" w:ascii="宋体" w:hAnsi="宋体" w:eastAsia="宋体" w:cs="宋体"/>
          <w:color w:val="auto"/>
          <w:sz w:val="24"/>
          <w:highlight w:val="none"/>
        </w:rPr>
        <w:t>报价一览表（最终报价表）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cs="宋体"/>
          <w:color w:val="auto"/>
          <w:sz w:val="24"/>
          <w:highlight w:val="none"/>
          <w:lang w:eastAsia="zh-CN"/>
        </w:rPr>
        <w:t>二、</w:t>
      </w:r>
      <w:r>
        <w:rPr>
          <w:rFonts w:hint="eastAsia" w:ascii="宋体" w:hAnsi="宋体" w:eastAsia="宋体" w:cs="宋体"/>
          <w:color w:val="auto"/>
          <w:sz w:val="24"/>
          <w:highlight w:val="none"/>
        </w:rPr>
        <w:t>投标分项报价表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Theme="minorEastAsia" w:hAnsiTheme="minorEastAsia" w:eastAsiaTheme="minorEastAsia" w:cstheme="minorEastAsia"/>
          <w:b/>
          <w:bCs/>
          <w:sz w:val="30"/>
          <w:szCs w:val="30"/>
          <w:highlight w:val="none"/>
        </w:rPr>
        <w:sectPr>
          <w:footerReference r:id="rId8" w:type="default"/>
          <w:pgSz w:w="11905" w:h="16838"/>
          <w:pgMar w:top="1417" w:right="1417" w:bottom="964" w:left="1474" w:header="851" w:footer="992" w:gutter="0"/>
          <w:pgNumType w:fmt="decimal" w:start="1"/>
          <w:cols w:space="0" w:num="1"/>
          <w:rtlGutter w:val="0"/>
          <w:docGrid w:linePitch="312" w:charSpace="0"/>
        </w:sectPr>
      </w:pPr>
      <w:r>
        <w:rPr>
          <w:rFonts w:hint="eastAsia" w:ascii="宋体" w:hAnsi="宋体" w:cs="宋体"/>
          <w:color w:val="auto"/>
          <w:sz w:val="24"/>
          <w:highlight w:val="none"/>
          <w:lang w:eastAsia="zh-CN"/>
        </w:rPr>
        <w:t>三、</w:t>
      </w:r>
      <w:r>
        <w:rPr>
          <w:rFonts w:hint="eastAsia" w:ascii="宋体" w:hAnsi="宋体" w:eastAsia="宋体" w:cs="宋体"/>
          <w:color w:val="auto"/>
          <w:sz w:val="24"/>
          <w:highlight w:val="none"/>
          <w:lang w:val="zh-CN"/>
        </w:rPr>
        <w:t>招标文件规定的价格扣除证明材料（若有）</w:t>
      </w:r>
      <w:bookmarkStart w:id="176" w:name="_Toc287002968"/>
    </w:p>
    <w:p>
      <w:pPr>
        <w:keepNext w:val="0"/>
        <w:keepLines w:val="0"/>
        <w:pageBreakBefore w:val="0"/>
        <w:widowControl w:val="0"/>
        <w:kinsoku/>
        <w:wordWrap/>
        <w:overflowPunct/>
        <w:topLinePunct w:val="0"/>
        <w:bidi w:val="0"/>
        <w:spacing w:line="360" w:lineRule="auto"/>
        <w:jc w:val="center"/>
        <w:rPr>
          <w:rFonts w:hint="eastAsia" w:asciiTheme="minorEastAsia" w:hAnsiTheme="minorEastAsia" w:eastAsiaTheme="minorEastAsia" w:cstheme="minorEastAsia"/>
          <w:b/>
          <w:bCs/>
          <w:sz w:val="30"/>
          <w:szCs w:val="30"/>
          <w:highlight w:val="none"/>
        </w:rPr>
      </w:pPr>
      <w:r>
        <w:rPr>
          <w:rFonts w:hint="eastAsia" w:asciiTheme="minorEastAsia" w:hAnsiTheme="minorEastAsia" w:eastAsiaTheme="minorEastAsia" w:cstheme="minorEastAsia"/>
          <w:b/>
          <w:bCs/>
          <w:sz w:val="30"/>
          <w:szCs w:val="30"/>
          <w:highlight w:val="none"/>
          <w:lang w:eastAsia="zh-CN"/>
        </w:rPr>
        <w:t>一、</w:t>
      </w:r>
      <w:r>
        <w:rPr>
          <w:rFonts w:hint="eastAsia" w:asciiTheme="minorEastAsia" w:hAnsiTheme="minorEastAsia" w:eastAsiaTheme="minorEastAsia" w:cstheme="minorEastAsia"/>
          <w:b/>
          <w:bCs/>
          <w:sz w:val="30"/>
          <w:szCs w:val="30"/>
          <w:highlight w:val="none"/>
        </w:rPr>
        <w:t>开标一览表</w:t>
      </w:r>
      <w:bookmarkEnd w:id="176"/>
    </w:p>
    <w:p>
      <w:pPr>
        <w:keepNext w:val="0"/>
        <w:keepLines w:val="0"/>
        <w:pageBreakBefore w:val="0"/>
        <w:widowControl w:val="0"/>
        <w:kinsoku/>
        <w:wordWrap/>
        <w:overflowPunct/>
        <w:topLinePunct w:val="0"/>
        <w:bidi w:val="0"/>
        <w:spacing w:line="360" w:lineRule="auto"/>
        <w:jc w:val="center"/>
        <w:rPr>
          <w:rFonts w:hint="eastAsia" w:asciiTheme="minorEastAsia" w:hAnsiTheme="minorEastAsia" w:eastAsiaTheme="minorEastAsia" w:cstheme="minorEastAsia"/>
          <w:b/>
          <w:bCs/>
          <w:sz w:val="24"/>
          <w:szCs w:val="24"/>
          <w:highlight w:val="none"/>
        </w:rPr>
      </w:pPr>
    </w:p>
    <w:p>
      <w:pPr>
        <w:pStyle w:val="221"/>
        <w:keepNext w:val="0"/>
        <w:keepLines w:val="0"/>
        <w:pageBreakBefore w:val="0"/>
        <w:widowControl w:val="0"/>
        <w:kinsoku/>
        <w:wordWrap/>
        <w:overflowPunct/>
        <w:topLinePunct w:val="0"/>
        <w:bidi w:val="0"/>
        <w:spacing w:line="360" w:lineRule="auto"/>
        <w:ind w:firstLine="360" w:firstLineChars="150"/>
        <w:rPr>
          <w:rFonts w:hint="eastAsia" w:asciiTheme="minorEastAsia" w:hAnsiTheme="minorEastAsia" w:eastAsiaTheme="minorEastAsia" w:cstheme="minorEastAsia"/>
          <w:sz w:val="24"/>
          <w:szCs w:val="24"/>
          <w:highlight w:val="none"/>
        </w:rPr>
      </w:pPr>
    </w:p>
    <w:p>
      <w:pPr>
        <w:pStyle w:val="221"/>
        <w:keepNext w:val="0"/>
        <w:keepLines w:val="0"/>
        <w:pageBreakBefore w:val="0"/>
        <w:widowControl w:val="0"/>
        <w:kinsoku/>
        <w:wordWrap/>
        <w:overflowPunct/>
        <w:topLinePunct w:val="0"/>
        <w:bidi w:val="0"/>
        <w:spacing w:line="360" w:lineRule="auto"/>
        <w:ind w:firstLine="360" w:firstLineChars="15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名称（公章）：                                    招标编号：                               货币单位：</w:t>
      </w:r>
    </w:p>
    <w:tbl>
      <w:tblPr>
        <w:tblStyle w:val="40"/>
        <w:tblW w:w="131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954"/>
        <w:gridCol w:w="1918"/>
        <w:gridCol w:w="719"/>
        <w:gridCol w:w="1632"/>
        <w:gridCol w:w="1050"/>
        <w:gridCol w:w="1365"/>
        <w:gridCol w:w="2651"/>
        <w:gridCol w:w="1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40"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left="-107" w:leftChars="-51" w:right="-107" w:rightChars="-51" w:firstLine="0" w:firstLineChars="0"/>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合同包</w:t>
            </w:r>
          </w:p>
        </w:tc>
        <w:tc>
          <w:tcPr>
            <w:tcW w:w="1954"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货物名称规格</w:t>
            </w:r>
          </w:p>
        </w:tc>
        <w:tc>
          <w:tcPr>
            <w:tcW w:w="1918"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品牌/型号/产地</w:t>
            </w:r>
          </w:p>
        </w:tc>
        <w:tc>
          <w:tcPr>
            <w:tcW w:w="719"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数量</w:t>
            </w:r>
          </w:p>
        </w:tc>
        <w:tc>
          <w:tcPr>
            <w:tcW w:w="1632" w:type="dxa"/>
            <w:tcBorders>
              <w:top w:val="single" w:color="auto" w:sz="4" w:space="0"/>
              <w:left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b/>
                <w:sz w:val="24"/>
                <w:szCs w:val="24"/>
                <w:highlight w:val="none"/>
                <w:lang w:eastAsia="zh-CN"/>
              </w:rPr>
            </w:pPr>
            <w:r>
              <w:rPr>
                <w:rFonts w:hint="eastAsia" w:asciiTheme="minorEastAsia" w:hAnsiTheme="minorEastAsia" w:eastAsiaTheme="minorEastAsia" w:cstheme="minorEastAsia"/>
                <w:b/>
                <w:sz w:val="24"/>
                <w:szCs w:val="24"/>
                <w:highlight w:val="none"/>
                <w:lang w:eastAsia="zh-CN"/>
              </w:rPr>
              <w:t>投标单价</w:t>
            </w:r>
          </w:p>
        </w:tc>
        <w:tc>
          <w:tcPr>
            <w:tcW w:w="1050"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交货期</w:t>
            </w:r>
          </w:p>
        </w:tc>
        <w:tc>
          <w:tcPr>
            <w:tcW w:w="1365"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交货地点</w:t>
            </w:r>
          </w:p>
        </w:tc>
        <w:tc>
          <w:tcPr>
            <w:tcW w:w="2651"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left="-1" w:leftChars="-6" w:hanging="12" w:hangingChars="5"/>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付款方式</w:t>
            </w:r>
          </w:p>
        </w:tc>
        <w:tc>
          <w:tcPr>
            <w:tcW w:w="1013"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118" w:firstLineChars="49"/>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2" w:hRule="atLeast"/>
          <w:jc w:val="center"/>
        </w:trPr>
        <w:tc>
          <w:tcPr>
            <w:tcW w:w="8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9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7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26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01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jc w:val="center"/>
        </w:trPr>
        <w:tc>
          <w:tcPr>
            <w:tcW w:w="47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
                <w:sz w:val="24"/>
                <w:szCs w:val="24"/>
                <w:highlight w:val="none"/>
              </w:rPr>
              <w:t>该合同包投标总报价</w:t>
            </w:r>
          </w:p>
        </w:tc>
        <w:tc>
          <w:tcPr>
            <w:tcW w:w="8430"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大写： 人民币                                                 （￥   ）</w:t>
            </w:r>
          </w:p>
        </w:tc>
      </w:tr>
    </w:tbl>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sz w:val="24"/>
          <w:szCs w:val="24"/>
          <w:highlight w:val="none"/>
        </w:rPr>
      </w:pPr>
    </w:p>
    <w:p>
      <w:pPr>
        <w:keepNext w:val="0"/>
        <w:keepLines w:val="0"/>
        <w:pageBreakBefore w:val="0"/>
        <w:widowControl w:val="0"/>
        <w:kinsoku/>
        <w:wordWrap/>
        <w:overflowPunct/>
        <w:topLinePunct w:val="0"/>
        <w:bidi w:val="0"/>
        <w:spacing w:line="360" w:lineRule="auto"/>
        <w:ind w:firstLine="720" w:firstLineChars="300"/>
        <w:rPr>
          <w:rFonts w:hint="eastAsia" w:asciiTheme="minorEastAsia" w:hAnsiTheme="minorEastAsia" w:eastAsiaTheme="minorEastAsia" w:cstheme="minorEastAsia"/>
          <w:sz w:val="24"/>
          <w:szCs w:val="24"/>
          <w:highlight w:val="none"/>
          <w:u w:val="single"/>
        </w:rPr>
      </w:pPr>
      <w:r>
        <w:rPr>
          <w:rFonts w:hint="eastAsia" w:asciiTheme="minorEastAsia" w:hAnsiTheme="minorEastAsia" w:eastAsiaTheme="minorEastAsia" w:cstheme="minorEastAsia"/>
          <w:sz w:val="24"/>
          <w:szCs w:val="24"/>
          <w:highlight w:val="none"/>
        </w:rPr>
        <w:t>投 标 人（全称并加盖公章）：</w:t>
      </w:r>
      <w:r>
        <w:rPr>
          <w:rFonts w:hint="eastAsia" w:asciiTheme="minorEastAsia" w:hAnsiTheme="minorEastAsia" w:eastAsiaTheme="minorEastAsia" w:cstheme="minorEastAsia"/>
          <w:b/>
          <w:sz w:val="24"/>
          <w:szCs w:val="24"/>
          <w:highlight w:val="none"/>
          <w:u w:val="single"/>
        </w:rPr>
        <w:t xml:space="preserve">              </w:t>
      </w:r>
    </w:p>
    <w:p>
      <w:pPr>
        <w:keepNext w:val="0"/>
        <w:keepLines w:val="0"/>
        <w:pageBreakBefore w:val="0"/>
        <w:widowControl w:val="0"/>
        <w:kinsoku/>
        <w:wordWrap/>
        <w:overflowPunct/>
        <w:topLinePunct w:val="0"/>
        <w:bidi w:val="0"/>
        <w:spacing w:line="360" w:lineRule="auto"/>
        <w:ind w:firstLine="720" w:firstLineChars="300"/>
        <w:rPr>
          <w:rFonts w:hint="eastAsia" w:asciiTheme="minorEastAsia" w:hAnsiTheme="minorEastAsia" w:eastAsiaTheme="minorEastAsia" w:cstheme="minorEastAsia"/>
          <w:sz w:val="24"/>
          <w:szCs w:val="24"/>
          <w:highlight w:val="none"/>
          <w:u w:val="single"/>
        </w:rPr>
      </w:pP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代表签字：</w:t>
      </w:r>
      <w:r>
        <w:rPr>
          <w:rFonts w:hint="eastAsia" w:asciiTheme="minorEastAsia" w:hAnsiTheme="minorEastAsia" w:eastAsiaTheme="minorEastAsia" w:cstheme="minorEastAsia"/>
          <w:b/>
          <w:sz w:val="24"/>
          <w:szCs w:val="24"/>
          <w:highlight w:val="none"/>
          <w:u w:val="single"/>
        </w:rPr>
        <w:t xml:space="preserve">              </w:t>
      </w:r>
    </w:p>
    <w:p>
      <w:pPr>
        <w:keepNext w:val="0"/>
        <w:keepLines w:val="0"/>
        <w:pageBreakBefore w:val="0"/>
        <w:widowControl w:val="0"/>
        <w:kinsoku/>
        <w:wordWrap/>
        <w:overflowPunct/>
        <w:topLinePunct w:val="0"/>
        <w:bidi w:val="0"/>
        <w:spacing w:line="360" w:lineRule="auto"/>
        <w:ind w:firstLine="720" w:firstLineChars="300"/>
        <w:rPr>
          <w:rFonts w:hint="eastAsia" w:asciiTheme="minorEastAsia" w:hAnsiTheme="minorEastAsia" w:eastAsiaTheme="minorEastAsia" w:cstheme="minorEastAsia"/>
          <w:b/>
          <w:sz w:val="24"/>
          <w:szCs w:val="24"/>
          <w:highlight w:val="none"/>
          <w:u w:val="single"/>
        </w:rPr>
      </w:pPr>
      <w:r>
        <w:rPr>
          <w:rFonts w:hint="eastAsia" w:asciiTheme="minorEastAsia" w:hAnsiTheme="minorEastAsia" w:eastAsiaTheme="minorEastAsia" w:cstheme="minorEastAsia"/>
          <w:sz w:val="24"/>
          <w:szCs w:val="24"/>
          <w:highlight w:val="none"/>
        </w:rPr>
        <w:t>日      期：</w:t>
      </w:r>
      <w:r>
        <w:rPr>
          <w:rFonts w:hint="eastAsia" w:asciiTheme="minorEastAsia" w:hAnsiTheme="minorEastAsia" w:eastAsiaTheme="minorEastAsia" w:cstheme="minorEastAsia"/>
          <w:b/>
          <w:sz w:val="24"/>
          <w:szCs w:val="24"/>
          <w:highlight w:val="none"/>
          <w:u w:val="single"/>
        </w:rPr>
        <w:t xml:space="preserve">            </w:t>
      </w:r>
    </w:p>
    <w:p>
      <w:pPr>
        <w:rPr>
          <w:rFonts w:hint="eastAsia" w:asciiTheme="minorEastAsia" w:hAnsiTheme="minorEastAsia" w:eastAsiaTheme="minorEastAsia" w:cstheme="minorEastAsia"/>
          <w:b/>
          <w:sz w:val="24"/>
          <w:szCs w:val="24"/>
          <w:highlight w:val="none"/>
          <w:u w:val="single"/>
        </w:rPr>
      </w:pPr>
      <w:r>
        <w:rPr>
          <w:rFonts w:hint="eastAsia" w:asciiTheme="minorEastAsia" w:hAnsiTheme="minorEastAsia" w:eastAsiaTheme="minorEastAsia" w:cstheme="minorEastAsia"/>
          <w:b/>
          <w:sz w:val="24"/>
          <w:szCs w:val="24"/>
          <w:highlight w:val="none"/>
          <w:u w:val="single"/>
        </w:rPr>
        <w:br w:type="page"/>
      </w:r>
    </w:p>
    <w:p>
      <w:pPr>
        <w:keepNext w:val="0"/>
        <w:keepLines w:val="0"/>
        <w:pageBreakBefore w:val="0"/>
        <w:widowControl w:val="0"/>
        <w:tabs>
          <w:tab w:val="left" w:pos="900"/>
          <w:tab w:val="left" w:pos="5166"/>
        </w:tabs>
        <w:kinsoku/>
        <w:wordWrap/>
        <w:overflowPunct/>
        <w:topLinePunct w:val="0"/>
        <w:bidi w:val="0"/>
        <w:spacing w:line="360" w:lineRule="auto"/>
        <w:jc w:val="center"/>
        <w:rPr>
          <w:rFonts w:hint="eastAsia" w:asciiTheme="minorEastAsia" w:hAnsiTheme="minorEastAsia" w:eastAsiaTheme="minorEastAsia" w:cstheme="minorEastAsia"/>
          <w:b/>
          <w:sz w:val="30"/>
          <w:szCs w:val="30"/>
          <w:highlight w:val="none"/>
        </w:rPr>
      </w:pPr>
      <w:r>
        <w:rPr>
          <w:rFonts w:hint="eastAsia" w:asciiTheme="minorEastAsia" w:hAnsiTheme="minorEastAsia" w:eastAsiaTheme="minorEastAsia" w:cstheme="minorEastAsia"/>
          <w:b/>
          <w:sz w:val="30"/>
          <w:szCs w:val="30"/>
          <w:highlight w:val="none"/>
          <w:lang w:eastAsia="zh-CN"/>
        </w:rPr>
        <w:t>一</w:t>
      </w:r>
      <w:r>
        <w:rPr>
          <w:rFonts w:hint="eastAsia" w:asciiTheme="minorEastAsia" w:hAnsiTheme="minorEastAsia" w:eastAsiaTheme="minorEastAsia" w:cstheme="minorEastAsia"/>
          <w:b/>
          <w:sz w:val="30"/>
          <w:szCs w:val="30"/>
          <w:highlight w:val="none"/>
          <w:lang w:val="en-US" w:eastAsia="zh-CN"/>
        </w:rPr>
        <w:t xml:space="preserve"> -1、</w:t>
      </w:r>
      <w:r>
        <w:rPr>
          <w:rFonts w:hint="eastAsia" w:asciiTheme="minorEastAsia" w:hAnsiTheme="minorEastAsia" w:eastAsiaTheme="minorEastAsia" w:cstheme="minorEastAsia"/>
          <w:b/>
          <w:sz w:val="30"/>
          <w:szCs w:val="30"/>
          <w:highlight w:val="none"/>
        </w:rPr>
        <w:t>报价一览表（最终报价表）</w:t>
      </w:r>
    </w:p>
    <w:p>
      <w:pPr>
        <w:pStyle w:val="93"/>
        <w:keepNext w:val="0"/>
        <w:keepLines w:val="0"/>
        <w:pageBreakBefore w:val="0"/>
        <w:widowControl w:val="0"/>
        <w:kinsoku/>
        <w:wordWrap/>
        <w:overflowPunct/>
        <w:topLinePunct w:val="0"/>
        <w:bidi w:val="0"/>
        <w:spacing w:line="360" w:lineRule="auto"/>
        <w:jc w:val="center"/>
        <w:rPr>
          <w:rFonts w:hint="eastAsia" w:asciiTheme="minorEastAsia" w:hAnsiTheme="minorEastAsia" w:eastAsiaTheme="minorEastAsia" w:cstheme="minorEastAsia"/>
          <w:b/>
          <w:sz w:val="24"/>
          <w:szCs w:val="24"/>
          <w:highlight w:val="none"/>
        </w:rPr>
      </w:pPr>
    </w:p>
    <w:p>
      <w:pPr>
        <w:keepNext w:val="0"/>
        <w:keepLines w:val="0"/>
        <w:pageBreakBefore w:val="0"/>
        <w:widowControl w:val="0"/>
        <w:kinsoku/>
        <w:wordWrap/>
        <w:overflowPunct/>
        <w:topLinePunct w:val="0"/>
        <w:bidi w:val="0"/>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 xml:space="preserve">名称: </w:t>
      </w:r>
      <w:r>
        <w:rPr>
          <w:rFonts w:hint="eastAsia" w:asciiTheme="minorEastAsia" w:hAnsiTheme="minorEastAsia" w:eastAsiaTheme="minorEastAsia" w:cstheme="minorEastAsia"/>
          <w:sz w:val="24"/>
          <w:szCs w:val="24"/>
          <w:highlight w:val="none"/>
          <w:u w:val="single"/>
        </w:rPr>
        <w:t>（全称并加盖公章）</w:t>
      </w:r>
      <w:r>
        <w:rPr>
          <w:rFonts w:hint="eastAsia" w:asciiTheme="minorEastAsia" w:hAnsiTheme="minorEastAsia" w:eastAsiaTheme="minorEastAsia" w:cstheme="minorEastAsia"/>
          <w:sz w:val="24"/>
          <w:szCs w:val="24"/>
          <w:highlight w:val="none"/>
        </w:rPr>
        <w:t xml:space="preserve">                         项目编号∶                                  货币单位：</w:t>
      </w:r>
    </w:p>
    <w:tbl>
      <w:tblPr>
        <w:tblStyle w:val="40"/>
        <w:tblW w:w="14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954"/>
        <w:gridCol w:w="1918"/>
        <w:gridCol w:w="719"/>
        <w:gridCol w:w="2583"/>
        <w:gridCol w:w="1050"/>
        <w:gridCol w:w="1365"/>
        <w:gridCol w:w="2651"/>
        <w:gridCol w:w="1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40"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left="-107" w:leftChars="-51" w:right="-107" w:rightChars="-51" w:firstLine="0" w:firstLineChars="0"/>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合同包</w:t>
            </w:r>
          </w:p>
        </w:tc>
        <w:tc>
          <w:tcPr>
            <w:tcW w:w="1954"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货物名称规格</w:t>
            </w:r>
          </w:p>
        </w:tc>
        <w:tc>
          <w:tcPr>
            <w:tcW w:w="1918"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品牌/型号/产地</w:t>
            </w:r>
          </w:p>
        </w:tc>
        <w:tc>
          <w:tcPr>
            <w:tcW w:w="719"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数量</w:t>
            </w:r>
          </w:p>
        </w:tc>
        <w:tc>
          <w:tcPr>
            <w:tcW w:w="2583" w:type="dxa"/>
            <w:tcBorders>
              <w:top w:val="single" w:color="auto" w:sz="4" w:space="0"/>
              <w:left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lang w:eastAsia="zh-CN"/>
              </w:rPr>
              <w:t>投标单价</w:t>
            </w:r>
          </w:p>
        </w:tc>
        <w:tc>
          <w:tcPr>
            <w:tcW w:w="1050"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交货期</w:t>
            </w:r>
          </w:p>
        </w:tc>
        <w:tc>
          <w:tcPr>
            <w:tcW w:w="1365"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0" w:firstLineChars="0"/>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交货地点</w:t>
            </w:r>
          </w:p>
        </w:tc>
        <w:tc>
          <w:tcPr>
            <w:tcW w:w="2651"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left="-1" w:leftChars="-6" w:hanging="12" w:hangingChars="5"/>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付款方式</w:t>
            </w:r>
          </w:p>
        </w:tc>
        <w:tc>
          <w:tcPr>
            <w:tcW w:w="1013" w:type="dxa"/>
            <w:tcBorders>
              <w:top w:val="single" w:color="auto" w:sz="4" w:space="0"/>
              <w:left w:val="single" w:color="auto" w:sz="4" w:space="0"/>
              <w:bottom w:val="single" w:color="auto" w:sz="4" w:space="0"/>
              <w:right w:val="single" w:color="auto" w:sz="4" w:space="0"/>
            </w:tcBorders>
            <w:vAlign w:val="center"/>
          </w:tcPr>
          <w:p>
            <w:pPr>
              <w:pStyle w:val="221"/>
              <w:keepNext w:val="0"/>
              <w:keepLines w:val="0"/>
              <w:pageBreakBefore w:val="0"/>
              <w:widowControl w:val="0"/>
              <w:kinsoku/>
              <w:wordWrap/>
              <w:overflowPunct/>
              <w:topLinePunct w:val="0"/>
              <w:bidi w:val="0"/>
              <w:spacing w:line="360" w:lineRule="auto"/>
              <w:ind w:firstLine="118" w:firstLineChars="49"/>
              <w:jc w:val="center"/>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jc w:val="center"/>
        </w:trPr>
        <w:tc>
          <w:tcPr>
            <w:tcW w:w="8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9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7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25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26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c>
          <w:tcPr>
            <w:tcW w:w="101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jc w:val="center"/>
              <w:rPr>
                <w:rFonts w:hint="eastAsia" w:asciiTheme="minorEastAsia" w:hAnsiTheme="minorEastAsia" w:eastAsia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jc w:val="center"/>
        </w:trPr>
        <w:tc>
          <w:tcPr>
            <w:tcW w:w="47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
                <w:sz w:val="24"/>
                <w:szCs w:val="24"/>
                <w:highlight w:val="none"/>
              </w:rPr>
              <w:t>该合同包投标总报价</w:t>
            </w:r>
          </w:p>
        </w:tc>
        <w:tc>
          <w:tcPr>
            <w:tcW w:w="938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360" w:lineRule="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大写： 人民币                                                 （￥   ）</w:t>
            </w:r>
          </w:p>
        </w:tc>
      </w:tr>
    </w:tbl>
    <w:p>
      <w:pPr>
        <w:keepNext w:val="0"/>
        <w:keepLines w:val="0"/>
        <w:pageBreakBefore w:val="0"/>
        <w:widowControl w:val="0"/>
        <w:tabs>
          <w:tab w:val="left" w:pos="13000"/>
        </w:tabs>
        <w:kinsoku/>
        <w:wordWrap/>
        <w:overflowPunct/>
        <w:topLinePunct w:val="0"/>
        <w:bidi w:val="0"/>
        <w:spacing w:line="360" w:lineRule="auto"/>
        <w:ind w:firstLine="240" w:firstLineChars="1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注：</w:t>
      </w:r>
      <w:r>
        <w:rPr>
          <w:rFonts w:hint="eastAsia" w:asciiTheme="minorEastAsia" w:hAnsiTheme="minorEastAsia" w:eastAsiaTheme="minorEastAsia" w:cstheme="minorEastAsia"/>
          <w:b/>
          <w:sz w:val="24"/>
          <w:szCs w:val="24"/>
          <w:highlight w:val="none"/>
        </w:rPr>
        <w:t>1.此表正本单独的信封密封。报价文件正本中不需再提供。</w:t>
      </w:r>
    </w:p>
    <w:p>
      <w:pPr>
        <w:keepNext w:val="0"/>
        <w:keepLines w:val="0"/>
        <w:pageBreakBefore w:val="0"/>
        <w:widowControl w:val="0"/>
        <w:kinsoku/>
        <w:wordWrap/>
        <w:overflowPunct/>
        <w:topLinePunct w:val="0"/>
        <w:bidi w:val="0"/>
        <w:spacing w:line="360" w:lineRule="auto"/>
        <w:ind w:firstLine="787" w:firstLineChars="328"/>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2.当一个合同包有多个品目号时，</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应计算出该合同包的合计价。</w:t>
      </w:r>
    </w:p>
    <w:p>
      <w:pPr>
        <w:keepNext w:val="0"/>
        <w:keepLines w:val="0"/>
        <w:pageBreakBefore w:val="0"/>
        <w:widowControl w:val="0"/>
        <w:tabs>
          <w:tab w:val="left" w:pos="7380"/>
        </w:tabs>
        <w:kinsoku/>
        <w:wordWrap/>
        <w:overflowPunct/>
        <w:topLinePunct w:val="0"/>
        <w:bidi w:val="0"/>
        <w:spacing w:line="360" w:lineRule="auto"/>
        <w:ind w:firstLine="737" w:firstLineChars="306"/>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3.该最终报价表只须盖章或签字，不须填写具体内容，待谈判结束后</w:t>
      </w:r>
      <w:r>
        <w:rPr>
          <w:rFonts w:hint="eastAsia" w:asciiTheme="minorEastAsia" w:hAnsiTheme="minorEastAsia" w:eastAsiaTheme="minorEastAsia" w:cstheme="minorEastAsia"/>
          <w:b/>
          <w:sz w:val="24"/>
          <w:szCs w:val="24"/>
          <w:highlight w:val="none"/>
          <w:lang w:eastAsia="zh-CN"/>
        </w:rPr>
        <w:t>投标人</w:t>
      </w:r>
      <w:r>
        <w:rPr>
          <w:rFonts w:hint="eastAsia" w:asciiTheme="minorEastAsia" w:hAnsiTheme="minorEastAsia" w:eastAsiaTheme="minorEastAsia" w:cstheme="minorEastAsia"/>
          <w:b/>
          <w:sz w:val="24"/>
          <w:szCs w:val="24"/>
          <w:highlight w:val="none"/>
        </w:rPr>
        <w:t>作最终报价及有关承诺。</w:t>
      </w:r>
    </w:p>
    <w:tbl>
      <w:tblPr>
        <w:tblStyle w:val="40"/>
        <w:tblW w:w="1404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1321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43" w:hRule="atLeast"/>
          <w:jc w:val="center"/>
        </w:trPr>
        <w:tc>
          <w:tcPr>
            <w:tcW w:w="825" w:type="dxa"/>
            <w:vAlign w:val="center"/>
          </w:tcPr>
          <w:p>
            <w:pPr>
              <w:keepNext w:val="0"/>
              <w:keepLines w:val="0"/>
              <w:pageBreakBefore w:val="0"/>
              <w:widowControl w:val="0"/>
              <w:tabs>
                <w:tab w:val="left" w:pos="7380"/>
              </w:tabs>
              <w:kinsoku/>
              <w:wordWrap/>
              <w:overflowPunct/>
              <w:topLinePunct w:val="0"/>
              <w:bidi w:val="0"/>
              <w:spacing w:line="360" w:lineRule="auto"/>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相</w:t>
            </w:r>
          </w:p>
          <w:p>
            <w:pPr>
              <w:keepNext w:val="0"/>
              <w:keepLines w:val="0"/>
              <w:pageBreakBefore w:val="0"/>
              <w:widowControl w:val="0"/>
              <w:tabs>
                <w:tab w:val="left" w:pos="7380"/>
              </w:tabs>
              <w:kinsoku/>
              <w:wordWrap/>
              <w:overflowPunct/>
              <w:topLinePunct w:val="0"/>
              <w:bidi w:val="0"/>
              <w:spacing w:line="360" w:lineRule="auto"/>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关</w:t>
            </w:r>
          </w:p>
          <w:p>
            <w:pPr>
              <w:keepNext w:val="0"/>
              <w:keepLines w:val="0"/>
              <w:pageBreakBefore w:val="0"/>
              <w:widowControl w:val="0"/>
              <w:tabs>
                <w:tab w:val="left" w:pos="7380"/>
              </w:tabs>
              <w:kinsoku/>
              <w:wordWrap/>
              <w:overflowPunct/>
              <w:topLinePunct w:val="0"/>
              <w:bidi w:val="0"/>
              <w:spacing w:line="360" w:lineRule="auto"/>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承</w:t>
            </w:r>
          </w:p>
          <w:p>
            <w:pPr>
              <w:keepNext w:val="0"/>
              <w:keepLines w:val="0"/>
              <w:pageBreakBefore w:val="0"/>
              <w:widowControl w:val="0"/>
              <w:tabs>
                <w:tab w:val="left" w:pos="7380"/>
              </w:tabs>
              <w:kinsoku/>
              <w:wordWrap/>
              <w:overflowPunct/>
              <w:topLinePunct w:val="0"/>
              <w:bidi w:val="0"/>
              <w:spacing w:line="360" w:lineRule="auto"/>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诺</w:t>
            </w:r>
          </w:p>
        </w:tc>
        <w:tc>
          <w:tcPr>
            <w:tcW w:w="13216" w:type="dxa"/>
            <w:vAlign w:val="top"/>
          </w:tcPr>
          <w:p>
            <w:pPr>
              <w:keepNext w:val="0"/>
              <w:keepLines w:val="0"/>
              <w:pageBreakBefore w:val="0"/>
              <w:widowControl w:val="0"/>
              <w:tabs>
                <w:tab w:val="left" w:pos="7380"/>
              </w:tabs>
              <w:kinsoku/>
              <w:wordWrap/>
              <w:overflowPunct/>
              <w:topLinePunct w:val="0"/>
              <w:bidi w:val="0"/>
              <w:spacing w:line="360" w:lineRule="auto"/>
              <w:rPr>
                <w:rFonts w:hint="eastAsia" w:asciiTheme="minorEastAsia" w:hAnsiTheme="minorEastAsia" w:eastAsiaTheme="minorEastAsia" w:cstheme="minorEastAsia"/>
                <w:sz w:val="24"/>
                <w:szCs w:val="24"/>
                <w:highlight w:val="none"/>
              </w:rPr>
            </w:pPr>
          </w:p>
        </w:tc>
      </w:tr>
    </w:tbl>
    <w:p>
      <w:pPr>
        <w:keepNext w:val="0"/>
        <w:keepLines w:val="0"/>
        <w:pageBreakBefore w:val="0"/>
        <w:widowControl w:val="0"/>
        <w:kinsoku/>
        <w:wordWrap/>
        <w:overflowPunct/>
        <w:topLinePunct w:val="0"/>
        <w:bidi w:val="0"/>
        <w:spacing w:line="360" w:lineRule="auto"/>
        <w:ind w:firstLine="480"/>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w:t>
      </w:r>
    </w:p>
    <w:p>
      <w:pPr>
        <w:keepNext w:val="0"/>
        <w:keepLines w:val="0"/>
        <w:pageBreakBefore w:val="0"/>
        <w:widowControl w:val="0"/>
        <w:kinsoku/>
        <w:wordWrap/>
        <w:overflowPunct/>
        <w:topLinePunct w:val="0"/>
        <w:bidi w:val="0"/>
        <w:spacing w:line="360" w:lineRule="auto"/>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代表签字</w:t>
      </w:r>
      <w:r>
        <w:rPr>
          <w:rFonts w:hint="eastAsia" w:asciiTheme="minorEastAsia" w:hAnsiTheme="minorEastAsia" w:eastAsiaTheme="minorEastAsia" w:cstheme="minorEastAsia"/>
          <w:sz w:val="24"/>
          <w:szCs w:val="24"/>
          <w:highlight w:val="none"/>
          <w:u w:val="single"/>
        </w:rPr>
        <w:t xml:space="preserve">：                    </w:t>
      </w:r>
    </w:p>
    <w:p>
      <w:pPr>
        <w:pStyle w:val="2"/>
        <w:rPr>
          <w:rFonts w:hint="eastAsia"/>
          <w:highlight w:val="none"/>
        </w:rPr>
        <w:sectPr>
          <w:type w:val="continuous"/>
          <w:pgSz w:w="16838" w:h="11905" w:orient="landscape"/>
          <w:pgMar w:top="1474" w:right="1417" w:bottom="1417" w:left="964" w:header="851" w:footer="992" w:gutter="0"/>
          <w:pgNumType w:fmt="decimal"/>
          <w:cols w:space="0" w:num="1"/>
          <w:rtlGutter w:val="0"/>
          <w:docGrid w:linePitch="312" w:charSpace="0"/>
        </w:sectPr>
      </w:pPr>
    </w:p>
    <w:p>
      <w:pPr>
        <w:pageBreakBefore w:val="0"/>
        <w:numPr>
          <w:ilvl w:val="0"/>
          <w:numId w:val="7"/>
        </w:numPr>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投标分项报价表</w:t>
      </w:r>
    </w:p>
    <w:p>
      <w:pPr>
        <w:keepNext w:val="0"/>
        <w:keepLines w:val="0"/>
        <w:pageBreakBefore w:val="0"/>
        <w:kinsoku/>
        <w:overflowPunct/>
        <w:autoSpaceDE/>
        <w:autoSpaceDN/>
        <w:bidi w:val="0"/>
        <w:spacing w:line="360" w:lineRule="auto"/>
        <w:ind w:firstLine="240" w:firstLineChars="1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投标人名称：                    招标编号：           货币单位：</w:t>
      </w:r>
      <w:r>
        <w:rPr>
          <w:rFonts w:hint="eastAsia" w:ascii="宋体" w:hAnsi="宋体" w:eastAsia="宋体" w:cs="宋体"/>
          <w:color w:val="000000"/>
          <w:sz w:val="24"/>
          <w:szCs w:val="24"/>
          <w:highlight w:val="none"/>
        </w:rPr>
        <w:t>人民币/元</w:t>
      </w:r>
      <w:r>
        <w:rPr>
          <w:rFonts w:hint="eastAsia" w:ascii="宋体" w:hAnsi="宋体" w:eastAsia="宋体" w:cs="宋体"/>
          <w:color w:val="auto"/>
          <w:sz w:val="24"/>
          <w:highlight w:val="none"/>
        </w:rPr>
        <w:t xml:space="preserve"> </w:t>
      </w:r>
    </w:p>
    <w:tbl>
      <w:tblPr>
        <w:tblStyle w:val="40"/>
        <w:tblW w:w="9155" w:type="dxa"/>
        <w:tblInd w:w="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34"/>
        <w:gridCol w:w="3443"/>
        <w:gridCol w:w="1319"/>
        <w:gridCol w:w="1320"/>
        <w:gridCol w:w="1319"/>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投标货物合同包</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货物名称</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原产地</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数量、型号、规格</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5</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主机和标准附件单价</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6</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备品备件价</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7</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专用工具价</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8</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技术服务费</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9</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安装调试费</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10</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检验培训费</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11</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运输费用</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12</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保险费用</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434" w:type="dxa"/>
            <w:vMerge w:val="restart"/>
            <w:tcBorders>
              <w:top w:val="single" w:color="auto" w:sz="4" w:space="0"/>
              <w:left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13</w:t>
            </w:r>
          </w:p>
        </w:tc>
        <w:tc>
          <w:tcPr>
            <w:tcW w:w="3443" w:type="dxa"/>
            <w:tcBorders>
              <w:top w:val="single" w:color="auto" w:sz="4" w:space="0"/>
              <w:left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出厂价投标价格</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434" w:type="dxa"/>
            <w:vMerge w:val="continue"/>
            <w:tcBorders>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p>
        </w:tc>
        <w:tc>
          <w:tcPr>
            <w:tcW w:w="3443" w:type="dxa"/>
            <w:tcBorders>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现场供货投标价格</w:t>
            </w: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4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14</w:t>
            </w:r>
          </w:p>
        </w:tc>
        <w:tc>
          <w:tcPr>
            <w:tcW w:w="344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投标总价(大写)</w:t>
            </w:r>
          </w:p>
        </w:tc>
        <w:tc>
          <w:tcPr>
            <w:tcW w:w="527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p>
        </w:tc>
      </w:tr>
    </w:tbl>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★注意：</w:t>
      </w:r>
    </w:p>
    <w:p>
      <w:pPr>
        <w:keepNext w:val="0"/>
        <w:keepLines w:val="0"/>
        <w:pageBreakBefore w:val="0"/>
        <w:tabs>
          <w:tab w:val="left" w:pos="5355"/>
        </w:tabs>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1．第1栏投标货物合同包/品目号系指“招标货物一览表”中该货物的合同包/品目号。</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2．出厂价投标价格＝栏目5×栏目4(数量)＋栏目6至栏目10的各项费用。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3．现场供货投标价格＝栏目5×栏目4(数量)＋栏目6至栏目12的各项费用。</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4．选购件价不包括在本投标表内，应另附纸分项单报。</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5．此表第14项投标价若与开标一览表有出入，以开标一览表投标价格为准。</w:t>
      </w: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6</w:t>
      </w:r>
      <w:r>
        <w:rPr>
          <w:rFonts w:hint="eastAsia" w:ascii="宋体" w:hAnsi="宋体" w:eastAsia="宋体" w:cs="宋体"/>
          <w:color w:val="000000"/>
          <w:sz w:val="24"/>
          <w:szCs w:val="24"/>
          <w:highlight w:val="none"/>
        </w:rPr>
        <w:t>.此表投标总价若与开标一览表有出入，以开标一览表投标价格为准。</w:t>
      </w: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w:t>
      </w:r>
      <w:r>
        <w:rPr>
          <w:rFonts w:hint="eastAsia" w:ascii="宋体" w:hAnsi="宋体" w:eastAsia="宋体" w:cs="宋体"/>
          <w:color w:val="000000"/>
          <w:sz w:val="24"/>
          <w:szCs w:val="24"/>
          <w:highlight w:val="none"/>
          <w:u w:val="single"/>
        </w:rPr>
        <w:t>（全称并加盖单位公章）</w:t>
      </w:r>
    </w:p>
    <w:p>
      <w:pPr>
        <w:pStyle w:val="36"/>
        <w:pageBreakBefore w:val="0"/>
        <w:kinsoku/>
        <w:overflowPunct/>
        <w:topLinePunct w:val="0"/>
        <w:autoSpaceDE/>
        <w:autoSpaceDN/>
        <w:bidi w:val="0"/>
        <w:adjustRightInd/>
        <w:spacing w:before="0" w:beforeAutospacing="0" w:after="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投标人代表签字：</w:t>
      </w:r>
      <w:r>
        <w:rPr>
          <w:rFonts w:hint="eastAsia" w:ascii="宋体" w:hAnsi="宋体" w:eastAsia="宋体" w:cs="宋体"/>
          <w:color w:val="000000"/>
          <w:sz w:val="24"/>
          <w:szCs w:val="24"/>
          <w:highlight w:val="none"/>
          <w:u w:val="single"/>
        </w:rPr>
        <w:t>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日期：</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w:t>
      </w:r>
      <w:r>
        <w:rPr>
          <w:rFonts w:hint="eastAsia" w:ascii="宋体" w:hAnsi="宋体" w:eastAsia="宋体" w:cs="宋体"/>
          <w:color w:val="000000"/>
          <w:sz w:val="24"/>
          <w:szCs w:val="24"/>
          <w:highlight w:val="none"/>
        </w:rPr>
        <w:t>日</w:t>
      </w:r>
    </w:p>
    <w:p>
      <w:pP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br w:type="page"/>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三、招标文件规定的价格扣除证明材料（若有）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三-1优先类节能产品、环境标志产品价格扣除证明材料（若有）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三-1-①优先类节能产品、环境标志产品统计表（价格扣除适用，若有）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招标编号：</w:t>
      </w:r>
      <w:r>
        <w:rPr>
          <w:rFonts w:hint="eastAsia" w:asciiTheme="minorEastAsia" w:hAnsiTheme="minorEastAsia" w:eastAsiaTheme="minorEastAsia" w:cstheme="minorEastAsia"/>
          <w:kern w:val="0"/>
          <w:sz w:val="24"/>
          <w:szCs w:val="24"/>
          <w:highlight w:val="none"/>
          <w:u w:val="singl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righ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货币及单位：人民币元</w:t>
      </w:r>
    </w:p>
    <w:tbl>
      <w:tblPr>
        <w:tblStyle w:val="40"/>
        <w:tblW w:w="9537"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14"/>
        <w:gridCol w:w="1217"/>
        <w:gridCol w:w="1336"/>
        <w:gridCol w:w="1440"/>
        <w:gridCol w:w="1208"/>
        <w:gridCol w:w="1327"/>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1169"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8278" w:type="dxa"/>
            <w:gridSpan w:val="6"/>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本合同包内属于节能、环境标志产品的情况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1169"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合同包</w:t>
            </w:r>
          </w:p>
        </w:tc>
        <w:tc>
          <w:tcPr>
            <w:tcW w:w="1187"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品目号</w:t>
            </w:r>
          </w:p>
        </w:tc>
        <w:tc>
          <w:tcPr>
            <w:tcW w:w="1306"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货物名称</w:t>
            </w:r>
          </w:p>
        </w:tc>
        <w:tc>
          <w:tcPr>
            <w:tcW w:w="141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单价</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（现场）</w:t>
            </w:r>
          </w:p>
        </w:tc>
        <w:tc>
          <w:tcPr>
            <w:tcW w:w="1178"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数量</w:t>
            </w:r>
          </w:p>
        </w:tc>
        <w:tc>
          <w:tcPr>
            <w:tcW w:w="1297"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总价</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（现场）</w:t>
            </w:r>
          </w:p>
        </w:tc>
        <w:tc>
          <w:tcPr>
            <w:tcW w:w="175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认证种类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1169" w:type="dxa"/>
            <w:vMerge w:val="restart"/>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w:t>
            </w:r>
          </w:p>
        </w:tc>
        <w:tc>
          <w:tcPr>
            <w:tcW w:w="1187"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*-1</w:t>
            </w:r>
          </w:p>
        </w:tc>
        <w:tc>
          <w:tcPr>
            <w:tcW w:w="1306"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41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178"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297"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75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1169"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187"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w:t>
            </w:r>
          </w:p>
        </w:tc>
        <w:tc>
          <w:tcPr>
            <w:tcW w:w="1306"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41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178"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297"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75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1169"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备注</w:t>
            </w:r>
          </w:p>
        </w:tc>
        <w:tc>
          <w:tcPr>
            <w:tcW w:w="8278" w:type="dxa"/>
            <w:gridSpan w:val="6"/>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a.合同包内属于节能、环境标志产品的报价总金</w:t>
            </w:r>
            <w:r>
              <w:rPr>
                <w:rFonts w:hint="eastAsia" w:asciiTheme="minorEastAsia" w:hAnsiTheme="minorEastAsia" w:eastAsiaTheme="minorEastAsia" w:cstheme="minorEastAsia"/>
                <w:kern w:val="0"/>
                <w:sz w:val="24"/>
                <w:szCs w:val="24"/>
                <w:highlight w:val="none"/>
                <w:lang w:eastAsia="zh-CN"/>
              </w:rPr>
              <w:t>额：</w:t>
            </w:r>
            <w:r>
              <w:rPr>
                <w:rFonts w:hint="eastAsia" w:asciiTheme="minorEastAsia" w:hAnsiTheme="minorEastAsia" w:eastAsiaTheme="minorEastAsia" w:cstheme="minorEastAsia"/>
                <w:kern w:val="0"/>
                <w:sz w:val="24"/>
                <w:szCs w:val="24"/>
                <w:highlight w:val="none"/>
                <w:u w:val="single"/>
                <w:lang w:val="en-US" w:eastAsia="zh-CN"/>
              </w:rPr>
              <w:t xml:space="preserve">                  </w:t>
            </w:r>
            <w:r>
              <w:rPr>
                <w:rFonts w:hint="eastAsia" w:asciiTheme="minorEastAsia" w:hAnsiTheme="minorEastAsia" w:eastAsiaTheme="minorEastAsia" w:cstheme="minorEastAsia"/>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b.合同包投标总价（报价总金额）：</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c.“合同包内属于节能、环境标志产品的报价总金额”占“合同包投标总价（报价总金额）”的比例（以%列示）：</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w:t>
            </w:r>
          </w:p>
        </w:tc>
      </w:tr>
    </w:tbl>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★注意：</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1、对节能、环境标志产品计算价格扣除时，只依据投标文件</w:t>
      </w:r>
      <w:r>
        <w:rPr>
          <w:rFonts w:hint="eastAsia" w:asciiTheme="minorEastAsia" w:hAnsiTheme="minorEastAsia" w:eastAsiaTheme="minorEastAsia" w:cstheme="minorEastAsia"/>
          <w:b/>
          <w:bCs/>
          <w:kern w:val="0"/>
          <w:sz w:val="24"/>
          <w:szCs w:val="24"/>
          <w:highlight w:val="none"/>
        </w:rPr>
        <w:t>“三-1-②优先类节能产品、环境标志产品证明材料（价格扣除适用，若有）”。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2、本表以合同包为单位，不同合同包请分别填写；同一合同包请按照其品目号顺序分别填写。</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3、具体统计、计算：</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3.1若节能、环境标志产品仅是构成投标产品的部件、组件或零件，则该投标产品不享受鼓励优惠政策。同一品目中各认证证书不重复计算价格扣除。强制类节能产品不享受价格扣除。</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3.2计算结果若除不尽，可四舍五入保留到小数点后两位。</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3.3投标人应按照招标文件要求认真统计、计算，否则评标委员会不予认定。</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3.4若无节能、环境标志产品，不填写本表，否则，</w:t>
      </w:r>
      <w:r>
        <w:rPr>
          <w:rFonts w:hint="eastAsia" w:asciiTheme="minorEastAsia" w:hAnsiTheme="minorEastAsia" w:eastAsiaTheme="minorEastAsia" w:cstheme="minorEastAsia"/>
          <w:b/>
          <w:bCs/>
          <w:kern w:val="0"/>
          <w:sz w:val="24"/>
          <w:szCs w:val="24"/>
          <w:highlight w:val="none"/>
        </w:rPr>
        <w:t>视为提供虚假材料。</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投标人：</w:t>
      </w:r>
      <w:r>
        <w:rPr>
          <w:rFonts w:hint="eastAsia" w:asciiTheme="minorEastAsia" w:hAnsiTheme="minorEastAsia" w:eastAsiaTheme="minorEastAsia" w:cstheme="minorEastAsia"/>
          <w:kern w:val="0"/>
          <w:sz w:val="24"/>
          <w:szCs w:val="24"/>
          <w:highlight w:val="none"/>
          <w:u w:val="single"/>
        </w:rPr>
        <w:t>（全称并加盖单位公章）</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投标人代表签字：</w:t>
      </w:r>
      <w:r>
        <w:rPr>
          <w:rFonts w:hint="eastAsia" w:asciiTheme="minorEastAsia" w:hAnsiTheme="minorEastAsia" w:eastAsiaTheme="minorEastAsia" w:cstheme="minorEastAsia"/>
          <w:kern w:val="0"/>
          <w:sz w:val="24"/>
          <w:szCs w:val="24"/>
          <w:highlight w:val="none"/>
          <w:u w:val="singl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日期：</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年</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月</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日</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三-1-②优先类节能产品、环境标志产品证明材料（价格扣除适用，若有）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编制说明</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除招标文件另有规定外，投标人应按照招标文件规定提供相应证明材料。</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b/>
          <w:bCs/>
          <w:kern w:val="0"/>
          <w:sz w:val="24"/>
          <w:szCs w:val="24"/>
          <w:highlight w:val="none"/>
        </w:rPr>
      </w:pPr>
      <w:r>
        <w:rPr>
          <w:rFonts w:hint="eastAsia" w:asciiTheme="minorEastAsia" w:hAnsiTheme="minorEastAsia" w:eastAsiaTheme="minorEastAsia" w:cstheme="minorEastAsia"/>
          <w:b/>
          <w:bCs/>
          <w:kern w:val="0"/>
          <w:sz w:val="24"/>
          <w:szCs w:val="24"/>
          <w:highlight w:val="none"/>
        </w:rPr>
        <w:br w:type="textWrapping"/>
      </w:r>
    </w:p>
    <w:p>
      <w:pPr>
        <w:pStyle w:val="2"/>
        <w:keepNext w:val="0"/>
        <w:keepLines w:val="0"/>
        <w:pageBreakBefore w:val="0"/>
        <w:kinsoku/>
        <w:wordWrap/>
        <w:overflowPunct/>
        <w:topLinePunct w:val="0"/>
        <w:autoSpaceDE/>
        <w:autoSpaceDN/>
        <w:bidi w:val="0"/>
        <w:adjustRightInd/>
        <w:snapToGrid/>
        <w:spacing w:beforeAutospacing="0" w:after="0" w:afterAutospacing="0" w:line="360" w:lineRule="auto"/>
        <w:ind w:firstLine="312"/>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br w:type="page"/>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三-2小型、微型企业产品等价格扣除证明材料（若有）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三-2-①小型、微型企业产品等统计表（价格扣除适用，若有）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招标编号：</w:t>
      </w:r>
      <w:r>
        <w:rPr>
          <w:rFonts w:hint="eastAsia" w:asciiTheme="minorEastAsia" w:hAnsiTheme="minorEastAsia" w:eastAsiaTheme="minorEastAsia" w:cstheme="minorEastAsia"/>
          <w:kern w:val="0"/>
          <w:sz w:val="24"/>
          <w:szCs w:val="24"/>
          <w:highlight w:val="none"/>
          <w:u w:val="singl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righ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货币及单位：人民币元</w:t>
      </w:r>
    </w:p>
    <w:tbl>
      <w:tblPr>
        <w:tblStyle w:val="40"/>
        <w:tblW w:w="8990"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09"/>
        <w:gridCol w:w="1205"/>
        <w:gridCol w:w="1070"/>
        <w:gridCol w:w="1196"/>
        <w:gridCol w:w="721"/>
        <w:gridCol w:w="1280"/>
        <w:gridCol w:w="1126"/>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1164"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7736" w:type="dxa"/>
            <w:gridSpan w:val="7"/>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合同包内属于小型、微型企业产品等的情况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1164"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合同包</w:t>
            </w:r>
          </w:p>
        </w:tc>
        <w:tc>
          <w:tcPr>
            <w:tcW w:w="1175"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品目号</w:t>
            </w:r>
          </w:p>
        </w:tc>
        <w:tc>
          <w:tcPr>
            <w:tcW w:w="104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采购标的</w:t>
            </w:r>
          </w:p>
        </w:tc>
        <w:tc>
          <w:tcPr>
            <w:tcW w:w="1166"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单价</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（现场）</w:t>
            </w:r>
          </w:p>
        </w:tc>
        <w:tc>
          <w:tcPr>
            <w:tcW w:w="691"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数量</w:t>
            </w:r>
          </w:p>
        </w:tc>
        <w:tc>
          <w:tcPr>
            <w:tcW w:w="125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总价</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（现场）</w:t>
            </w:r>
          </w:p>
        </w:tc>
        <w:tc>
          <w:tcPr>
            <w:tcW w:w="1096"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制造厂商</w:t>
            </w:r>
          </w:p>
        </w:tc>
        <w:tc>
          <w:tcPr>
            <w:tcW w:w="1138"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企业类型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1164" w:type="dxa"/>
            <w:vMerge w:val="restart"/>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w:t>
            </w:r>
          </w:p>
        </w:tc>
        <w:tc>
          <w:tcPr>
            <w:tcW w:w="1175"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*-1</w:t>
            </w:r>
          </w:p>
        </w:tc>
        <w:tc>
          <w:tcPr>
            <w:tcW w:w="104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166"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691"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25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096"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138"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1164" w:type="dxa"/>
            <w:vMerge w:val="continue"/>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175"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w:t>
            </w:r>
          </w:p>
        </w:tc>
        <w:tc>
          <w:tcPr>
            <w:tcW w:w="104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166"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691"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250"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096"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c>
          <w:tcPr>
            <w:tcW w:w="1138"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1164" w:type="dxa"/>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备注</w:t>
            </w:r>
          </w:p>
        </w:tc>
        <w:tc>
          <w:tcPr>
            <w:tcW w:w="7736" w:type="dxa"/>
            <w:gridSpan w:val="7"/>
            <w:tcMar>
              <w:top w:w="0" w:type="dxa"/>
              <w:left w:w="105" w:type="dxa"/>
              <w:bottom w:w="0" w:type="dxa"/>
              <w:right w:w="105" w:type="dxa"/>
            </w:tcMar>
            <w:vAlign w:val="top"/>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合同包内属于小型、微型企业产品等的报价总金额：</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w:t>
            </w:r>
          </w:p>
        </w:tc>
      </w:tr>
    </w:tbl>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★注意：</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1、对小型、微型企业产品等计算价格扣除时，只依据投标文件</w:t>
      </w:r>
      <w:r>
        <w:rPr>
          <w:rFonts w:hint="eastAsia" w:asciiTheme="minorEastAsia" w:hAnsiTheme="minorEastAsia" w:eastAsiaTheme="minorEastAsia" w:cstheme="minorEastAsia"/>
          <w:b/>
          <w:bCs/>
          <w:kern w:val="0"/>
          <w:sz w:val="24"/>
          <w:szCs w:val="24"/>
          <w:highlight w:val="none"/>
        </w:rPr>
        <w:t>“三-2-②中小企业声明函（价格扣除适用，若有）”及“三-2-③小型、微型企业等证明材料（价格扣除适用，若有）”。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2、本表以合同包为单位，不同合同包请分别填写；同一合同包请按照其品目号顺序分别填写。</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3、</w:t>
      </w:r>
      <w:r>
        <w:rPr>
          <w:rFonts w:hint="eastAsia" w:asciiTheme="minorEastAsia" w:hAnsiTheme="minorEastAsia" w:eastAsiaTheme="minorEastAsia" w:cstheme="minorEastAsia"/>
          <w:b/>
          <w:bCs/>
          <w:kern w:val="0"/>
          <w:sz w:val="24"/>
          <w:szCs w:val="24"/>
          <w:highlight w:val="none"/>
        </w:rPr>
        <w:t>除本表第4条规定情形外，小型、微型企业（含监狱企业）承担的工程或提供的服务不享受价格扣除。</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4、符合财政部、民政部、中国残联文件（财库[2017]141号）规定的残疾人福利性单位提供本单位制造的货物、承担的工程或服务，或提供其他残疾人福利性单位制造的货物（不包括使用非残疾人福利性单位注册商标的货物）</w:t>
      </w:r>
      <w:r>
        <w:rPr>
          <w:rFonts w:hint="eastAsia" w:asciiTheme="minorEastAsia" w:hAnsiTheme="minorEastAsia" w:eastAsiaTheme="minorEastAsia" w:cstheme="minorEastAsia"/>
          <w:b/>
          <w:bCs/>
          <w:kern w:val="0"/>
          <w:sz w:val="24"/>
          <w:szCs w:val="24"/>
          <w:highlight w:val="none"/>
        </w:rPr>
        <w:t>可享受价格扣除。</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投标人：</w:t>
      </w:r>
      <w:r>
        <w:rPr>
          <w:rFonts w:hint="eastAsia" w:asciiTheme="minorEastAsia" w:hAnsiTheme="minorEastAsia" w:eastAsiaTheme="minorEastAsia" w:cstheme="minorEastAsia"/>
          <w:kern w:val="0"/>
          <w:sz w:val="24"/>
          <w:szCs w:val="24"/>
          <w:highlight w:val="none"/>
          <w:u w:val="single"/>
        </w:rPr>
        <w:t>（全称并加盖单位公章）</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投标人代表签字：</w:t>
      </w:r>
      <w:r>
        <w:rPr>
          <w:rFonts w:hint="eastAsia" w:asciiTheme="minorEastAsia" w:hAnsiTheme="minorEastAsia" w:eastAsiaTheme="minorEastAsia" w:cstheme="minorEastAsia"/>
          <w:kern w:val="0"/>
          <w:sz w:val="24"/>
          <w:szCs w:val="24"/>
          <w:highlight w:val="none"/>
          <w:u w:val="singl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日期：</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年</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月</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日</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b/>
          <w:bCs/>
          <w:kern w:val="0"/>
          <w:sz w:val="24"/>
          <w:szCs w:val="24"/>
          <w:highlight w:val="none"/>
        </w:rPr>
      </w:pP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三-2-②中小企业声明函（价格扣除适用，若有）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本投标人郑重声明，根据《政府采购促进中小企业发展暂行办法》（财库[2011]181号）的规定，本投标人为</w:t>
      </w:r>
      <w:r>
        <w:rPr>
          <w:rFonts w:hint="eastAsia" w:asciiTheme="minorEastAsia" w:hAnsiTheme="minorEastAsia" w:eastAsiaTheme="minorEastAsia" w:cstheme="minorEastAsia"/>
          <w:kern w:val="0"/>
          <w:sz w:val="24"/>
          <w:szCs w:val="24"/>
          <w:highlight w:val="none"/>
          <w:u w:val="single"/>
        </w:rPr>
        <w:t>（填写“中型/小型/微型”）</w:t>
      </w:r>
      <w:r>
        <w:rPr>
          <w:rFonts w:hint="eastAsia" w:asciiTheme="minorEastAsia" w:hAnsiTheme="minorEastAsia" w:eastAsiaTheme="minorEastAsia" w:cstheme="minorEastAsia"/>
          <w:kern w:val="0"/>
          <w:sz w:val="24"/>
          <w:szCs w:val="24"/>
          <w:highlight w:val="none"/>
        </w:rPr>
        <w:t>企业。即本投标人同时满足以下条件：</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1、根据《工业和信息化部、国家统计局、国家发展和改革委员会、财政部关于印发中小企业划型标准规定的通知》（工信部联企业[2011]300号）规定的划分标准，本投标人为</w:t>
      </w:r>
      <w:r>
        <w:rPr>
          <w:rFonts w:hint="eastAsia" w:asciiTheme="minorEastAsia" w:hAnsiTheme="minorEastAsia" w:eastAsiaTheme="minorEastAsia" w:cstheme="minorEastAsia"/>
          <w:kern w:val="0"/>
          <w:sz w:val="24"/>
          <w:szCs w:val="24"/>
          <w:highlight w:val="none"/>
          <w:u w:val="single"/>
        </w:rPr>
        <w:t>  （填写“中型/小型/微型”）</w:t>
      </w:r>
      <w:r>
        <w:rPr>
          <w:rFonts w:hint="eastAsia" w:asciiTheme="minorEastAsia" w:hAnsiTheme="minorEastAsia" w:eastAsiaTheme="minorEastAsia" w:cstheme="minorEastAsia"/>
          <w:kern w:val="0"/>
          <w:sz w:val="24"/>
          <w:szCs w:val="24"/>
          <w:highlight w:val="none"/>
        </w:rPr>
        <w:t>企业。</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2、本投标人参加贵单位组织的</w:t>
      </w:r>
      <w:r>
        <w:rPr>
          <w:rFonts w:hint="eastAsia" w:asciiTheme="minorEastAsia" w:hAnsiTheme="minorEastAsia" w:eastAsiaTheme="minorEastAsia" w:cstheme="minorEastAsia"/>
          <w:kern w:val="0"/>
          <w:sz w:val="24"/>
          <w:szCs w:val="24"/>
          <w:highlight w:val="none"/>
          <w:u w:val="single"/>
        </w:rPr>
        <w:t xml:space="preserve"> （填写“项目名称”） </w:t>
      </w:r>
      <w:r>
        <w:rPr>
          <w:rFonts w:hint="eastAsia" w:asciiTheme="minorEastAsia" w:hAnsiTheme="minorEastAsia" w:eastAsiaTheme="minorEastAsia" w:cstheme="minorEastAsia"/>
          <w:kern w:val="0"/>
          <w:sz w:val="24"/>
          <w:szCs w:val="24"/>
          <w:highlight w:val="none"/>
        </w:rPr>
        <w:t>项目采购活动，其中：</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①货物（不包括使用大型企业注册商标的货物）：</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）提供本投标人制造的</w:t>
      </w:r>
      <w:r>
        <w:rPr>
          <w:rFonts w:hint="eastAsia" w:asciiTheme="minorEastAsia" w:hAnsiTheme="minorEastAsia" w:eastAsiaTheme="minorEastAsia" w:cstheme="minorEastAsia"/>
          <w:kern w:val="0"/>
          <w:sz w:val="24"/>
          <w:szCs w:val="24"/>
          <w:highlight w:val="none"/>
          <w:u w:val="single"/>
        </w:rPr>
        <w:t>（填写“所投合同包、品目号”）</w:t>
      </w:r>
      <w:r>
        <w:rPr>
          <w:rFonts w:hint="eastAsia" w:asciiTheme="minorEastAsia" w:hAnsiTheme="minorEastAsia" w:eastAsiaTheme="minorEastAsia" w:cstheme="minorEastAsia"/>
          <w:kern w:val="0"/>
          <w:sz w:val="24"/>
          <w:szCs w:val="24"/>
          <w:highlight w:val="none"/>
        </w:rPr>
        <w:t>货物；或</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）提供其他</w:t>
      </w:r>
      <w:r>
        <w:rPr>
          <w:rFonts w:hint="eastAsia" w:asciiTheme="minorEastAsia" w:hAnsiTheme="minorEastAsia" w:eastAsiaTheme="minorEastAsia" w:cstheme="minorEastAsia"/>
          <w:kern w:val="0"/>
          <w:sz w:val="24"/>
          <w:szCs w:val="24"/>
          <w:highlight w:val="none"/>
          <w:u w:val="single"/>
        </w:rPr>
        <w:t>（填写“中型/小型/微型”）</w:t>
      </w:r>
      <w:r>
        <w:rPr>
          <w:rFonts w:hint="eastAsia" w:asciiTheme="minorEastAsia" w:hAnsiTheme="minorEastAsia" w:eastAsiaTheme="minorEastAsia" w:cstheme="minorEastAsia"/>
          <w:kern w:val="0"/>
          <w:sz w:val="24"/>
          <w:szCs w:val="24"/>
          <w:highlight w:val="none"/>
        </w:rPr>
        <w:t>企业制造的</w:t>
      </w:r>
      <w:r>
        <w:rPr>
          <w:rFonts w:hint="eastAsia" w:asciiTheme="minorEastAsia" w:hAnsiTheme="minorEastAsia" w:eastAsiaTheme="minorEastAsia" w:cstheme="minorEastAsia"/>
          <w:kern w:val="0"/>
          <w:sz w:val="24"/>
          <w:szCs w:val="24"/>
          <w:highlight w:val="none"/>
          <w:u w:val="single"/>
        </w:rPr>
        <w:t>（填写“所投合同包、品目号”）</w:t>
      </w:r>
      <w:r>
        <w:rPr>
          <w:rFonts w:hint="eastAsia" w:asciiTheme="minorEastAsia" w:hAnsiTheme="minorEastAsia" w:eastAsiaTheme="minorEastAsia" w:cstheme="minorEastAsia"/>
          <w:kern w:val="0"/>
          <w:sz w:val="24"/>
          <w:szCs w:val="24"/>
          <w:highlight w:val="none"/>
        </w:rPr>
        <w:t>货物。</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②工程：</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）由本投标人承担的</w:t>
      </w:r>
      <w:r>
        <w:rPr>
          <w:rFonts w:hint="eastAsia" w:asciiTheme="minorEastAsia" w:hAnsiTheme="minorEastAsia" w:eastAsiaTheme="minorEastAsia" w:cstheme="minorEastAsia"/>
          <w:kern w:val="0"/>
          <w:sz w:val="24"/>
          <w:szCs w:val="24"/>
          <w:highlight w:val="none"/>
          <w:u w:val="single"/>
        </w:rPr>
        <w:t>（填写“所投合同包、品目号”）</w:t>
      </w:r>
      <w:r>
        <w:rPr>
          <w:rFonts w:hint="eastAsia" w:asciiTheme="minorEastAsia" w:hAnsiTheme="minorEastAsia" w:eastAsiaTheme="minorEastAsia" w:cstheme="minorEastAsia"/>
          <w:kern w:val="0"/>
          <w:sz w:val="24"/>
          <w:szCs w:val="24"/>
          <w:highlight w:val="none"/>
        </w:rPr>
        <w:t>工程。</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③服务：</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）由本投标人提供的</w:t>
      </w:r>
      <w:r>
        <w:rPr>
          <w:rFonts w:hint="eastAsia" w:asciiTheme="minorEastAsia" w:hAnsiTheme="minorEastAsia" w:eastAsiaTheme="minorEastAsia" w:cstheme="minorEastAsia"/>
          <w:kern w:val="0"/>
          <w:sz w:val="24"/>
          <w:szCs w:val="24"/>
          <w:highlight w:val="none"/>
          <w:u w:val="single"/>
        </w:rPr>
        <w:t>（填写“所投合同包、品目号”）</w:t>
      </w:r>
      <w:r>
        <w:rPr>
          <w:rFonts w:hint="eastAsia" w:asciiTheme="minorEastAsia" w:hAnsiTheme="minorEastAsia" w:eastAsiaTheme="minorEastAsia" w:cstheme="minorEastAsia"/>
          <w:kern w:val="0"/>
          <w:sz w:val="24"/>
          <w:szCs w:val="24"/>
          <w:highlight w:val="none"/>
        </w:rPr>
        <w:t>服务。</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本投标人对上述声明的真实性负责。如有虚假，将依法承担相应责任。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★注意：</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1、请投标人按照实际情况编制填写本声明函，并在相应的（）中打“√”。</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2、投标人应认真对照《工业和信息化部、国家统计局、国家发展和改革委员会、财政部关于印发中小企业划型标准规定的通知》（工信部联企业[2011]300号）规定的划分标准，并按照国家统计局现行的关于统计上大中小微型企业划分办法的有关规定准确划分企业类型。</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3、若《中小企业声明函》内容不真实，</w:t>
      </w:r>
      <w:r>
        <w:rPr>
          <w:rFonts w:hint="eastAsia" w:asciiTheme="minorEastAsia" w:hAnsiTheme="minorEastAsia" w:eastAsiaTheme="minorEastAsia" w:cstheme="minorEastAsia"/>
          <w:b/>
          <w:bCs/>
          <w:kern w:val="0"/>
          <w:sz w:val="24"/>
          <w:szCs w:val="24"/>
          <w:highlight w:val="none"/>
        </w:rPr>
        <w:t>视为提供虚假材料</w:t>
      </w:r>
      <w:r>
        <w:rPr>
          <w:rFonts w:hint="eastAsia" w:asciiTheme="minorEastAsia" w:hAnsiTheme="minorEastAsia" w:eastAsiaTheme="minorEastAsia" w:cstheme="minorEastAsia"/>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4、投标人为监狱企业的，可不填写本声明函。</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5、投标人为残疾人福利性单位的，可不填写本声明函。</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投标人：</w:t>
      </w:r>
      <w:r>
        <w:rPr>
          <w:rFonts w:hint="eastAsia" w:asciiTheme="minorEastAsia" w:hAnsiTheme="minorEastAsia" w:eastAsiaTheme="minorEastAsia" w:cstheme="minorEastAsia"/>
          <w:kern w:val="0"/>
          <w:sz w:val="24"/>
          <w:szCs w:val="24"/>
          <w:highlight w:val="none"/>
          <w:u w:val="single"/>
        </w:rPr>
        <w:t>（全称并加盖单位公章）</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投标人代表签字：</w:t>
      </w:r>
      <w:r>
        <w:rPr>
          <w:rFonts w:hint="eastAsia" w:asciiTheme="minorEastAsia" w:hAnsiTheme="minorEastAsia" w:eastAsiaTheme="minorEastAsia" w:cstheme="minorEastAsia"/>
          <w:kern w:val="0"/>
          <w:sz w:val="24"/>
          <w:szCs w:val="24"/>
          <w:highlight w:val="none"/>
          <w:u w:val="singl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日期：</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年</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月</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日</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三-2-③小型、微型企业等证明材料（价格扣除适用，若有）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编制说明</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1、投标人应按照招标文件要求提供相应证明材料，证明材料应与《中小企业声明函》的内容相一致，否则视为《中小企业声明函》内容不真实。</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2、投标人为监狱企业的，根据其提供的由省级以上监狱管理局、戒毒管理局（含新疆生产建设兵团）出具的属于监狱企业的证明文件进行认定，监狱企业视同小型、微型企业。</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3、投标人为残疾人福利性单位的，根据其提供的《残疾人福利性单位声明函》（格式附后）进行认定，残疾人福利性单位视同小型、微型企业。残疾人福利性单位属于小型、微型企业的，不重复享受政策。</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br w:type="textWrapping"/>
      </w:r>
    </w:p>
    <w:p>
      <w:pPr>
        <w:pStyle w:val="2"/>
        <w:keepNext w:val="0"/>
        <w:keepLines w:val="0"/>
        <w:pageBreakBefore w:val="0"/>
        <w:kinsoku/>
        <w:wordWrap/>
        <w:overflowPunct/>
        <w:topLinePunct w:val="0"/>
        <w:autoSpaceDE/>
        <w:autoSpaceDN/>
        <w:bidi w:val="0"/>
        <w:adjustRightInd/>
        <w:snapToGrid/>
        <w:spacing w:beforeAutospacing="0" w:after="0" w:afterAutospacing="0" w:line="360" w:lineRule="auto"/>
        <w:ind w:firstLine="312"/>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br w:type="page"/>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附：</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残疾人福利性单位声明函（价格扣除适用，若有）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本投标人郑重声明，根据《财政部 民政部 中国残疾人联合会关于促进残疾人就业政府采购政策的通知》（财库[2017]141号）的规定，本投标人为符合条件的残疾人福利性单位，且本投标人参加贵单位的</w:t>
      </w:r>
      <w:r>
        <w:rPr>
          <w:rFonts w:hint="eastAsia" w:asciiTheme="minorEastAsia" w:hAnsiTheme="minorEastAsia" w:eastAsiaTheme="minorEastAsia" w:cstheme="minorEastAsia"/>
          <w:kern w:val="0"/>
          <w:sz w:val="24"/>
          <w:szCs w:val="24"/>
          <w:highlight w:val="none"/>
          <w:u w:val="single"/>
        </w:rPr>
        <w:t>（填写“项目名称”）</w:t>
      </w:r>
      <w:r>
        <w:rPr>
          <w:rFonts w:hint="eastAsia" w:asciiTheme="minorEastAsia" w:hAnsiTheme="minorEastAsia" w:eastAsiaTheme="minorEastAsia" w:cstheme="minorEastAsia"/>
          <w:kern w:val="0"/>
          <w:sz w:val="24"/>
          <w:szCs w:val="24"/>
          <w:highlight w:val="none"/>
        </w:rPr>
        <w:t>项目采购活动：</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）提供本投标人制造的</w:t>
      </w:r>
      <w:r>
        <w:rPr>
          <w:rFonts w:hint="eastAsia" w:asciiTheme="minorEastAsia" w:hAnsiTheme="minorEastAsia" w:eastAsiaTheme="minorEastAsia" w:cstheme="minorEastAsia"/>
          <w:kern w:val="0"/>
          <w:sz w:val="24"/>
          <w:szCs w:val="24"/>
          <w:highlight w:val="none"/>
          <w:u w:val="single"/>
        </w:rPr>
        <w:t>（填写“所投合同包、品目号”）</w:t>
      </w:r>
      <w:r>
        <w:rPr>
          <w:rFonts w:hint="eastAsia" w:asciiTheme="minorEastAsia" w:hAnsiTheme="minorEastAsia" w:eastAsiaTheme="minorEastAsia" w:cstheme="minorEastAsia"/>
          <w:kern w:val="0"/>
          <w:sz w:val="24"/>
          <w:szCs w:val="24"/>
          <w:highlight w:val="none"/>
        </w:rPr>
        <w:t>货物，</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）由本投标人承担的</w:t>
      </w:r>
      <w:r>
        <w:rPr>
          <w:rFonts w:hint="eastAsia" w:asciiTheme="minorEastAsia" w:hAnsiTheme="minorEastAsia" w:eastAsiaTheme="minorEastAsia" w:cstheme="minorEastAsia"/>
          <w:kern w:val="0"/>
          <w:sz w:val="24"/>
          <w:szCs w:val="24"/>
          <w:highlight w:val="none"/>
          <w:u w:val="single"/>
        </w:rPr>
        <w:t>（填写“所投合同包、品目号”）</w:t>
      </w:r>
      <w:r>
        <w:rPr>
          <w:rFonts w:hint="eastAsia" w:asciiTheme="minorEastAsia" w:hAnsiTheme="minorEastAsia" w:eastAsiaTheme="minorEastAsia" w:cstheme="minorEastAsia"/>
          <w:kern w:val="0"/>
          <w:sz w:val="24"/>
          <w:szCs w:val="24"/>
          <w:highlight w:val="none"/>
        </w:rPr>
        <w:t>工程，</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）由本投标人提供的</w:t>
      </w:r>
      <w:r>
        <w:rPr>
          <w:rFonts w:hint="eastAsia" w:asciiTheme="minorEastAsia" w:hAnsiTheme="minorEastAsia" w:eastAsiaTheme="minorEastAsia" w:cstheme="minorEastAsia"/>
          <w:kern w:val="0"/>
          <w:sz w:val="24"/>
          <w:szCs w:val="24"/>
          <w:highlight w:val="none"/>
          <w:u w:val="single"/>
        </w:rPr>
        <w:t>（填写“所投合同包、品目号”）</w:t>
      </w:r>
      <w:r>
        <w:rPr>
          <w:rFonts w:hint="eastAsia" w:asciiTheme="minorEastAsia" w:hAnsiTheme="minorEastAsia" w:eastAsiaTheme="minorEastAsia" w:cstheme="minorEastAsia"/>
          <w:kern w:val="0"/>
          <w:sz w:val="24"/>
          <w:szCs w:val="24"/>
          <w:highlight w:val="none"/>
        </w:rPr>
        <w:t>服务；或</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）提供其他残疾人福利性单位制造的</w:t>
      </w:r>
      <w:r>
        <w:rPr>
          <w:rFonts w:hint="eastAsia" w:asciiTheme="minorEastAsia" w:hAnsiTheme="minorEastAsia" w:eastAsiaTheme="minorEastAsia" w:cstheme="minorEastAsia"/>
          <w:kern w:val="0"/>
          <w:sz w:val="24"/>
          <w:szCs w:val="24"/>
          <w:highlight w:val="none"/>
          <w:u w:val="single"/>
        </w:rPr>
        <w:t>（填写“所投合同包、品目号”）</w:t>
      </w:r>
      <w:r>
        <w:rPr>
          <w:rFonts w:hint="eastAsia" w:asciiTheme="minorEastAsia" w:hAnsiTheme="minorEastAsia" w:eastAsiaTheme="minorEastAsia" w:cstheme="minorEastAsia"/>
          <w:kern w:val="0"/>
          <w:sz w:val="24"/>
          <w:szCs w:val="24"/>
          <w:highlight w:val="none"/>
        </w:rPr>
        <w:t>货物（不包括使用非残疾人福利性单位注册商标的货物）。</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本投标人对上述声明的真实性负责。如有虚假，将依法承担相应责任。</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★注意：</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1、请投标人按照实际情况编制填写本声明函，并在相应的（）中打“√”。</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lang w:val="en-US" w:eastAsia="zh-CN"/>
        </w:rPr>
        <w:t>2</w:t>
      </w:r>
      <w:r>
        <w:rPr>
          <w:rFonts w:hint="eastAsia" w:asciiTheme="minorEastAsia" w:hAnsiTheme="minorEastAsia" w:eastAsiaTheme="minorEastAsia" w:cstheme="minorEastAsia"/>
          <w:kern w:val="0"/>
          <w:sz w:val="24"/>
          <w:szCs w:val="24"/>
          <w:highlight w:val="none"/>
        </w:rPr>
        <w:t>、若《残疾人福利性单位声明函》内容不真实，</w:t>
      </w:r>
      <w:r>
        <w:rPr>
          <w:rFonts w:hint="eastAsia" w:asciiTheme="minorEastAsia" w:hAnsiTheme="minorEastAsia" w:eastAsiaTheme="minorEastAsia" w:cstheme="minorEastAsia"/>
          <w:b/>
          <w:bCs/>
          <w:kern w:val="0"/>
          <w:sz w:val="24"/>
          <w:szCs w:val="24"/>
          <w:highlight w:val="none"/>
        </w:rPr>
        <w:t>视为提供虚假材料</w:t>
      </w:r>
      <w:r>
        <w:rPr>
          <w:rFonts w:hint="eastAsia" w:asciiTheme="minorEastAsia" w:hAnsiTheme="minorEastAsia" w:eastAsiaTheme="minorEastAsia" w:cstheme="minorEastAsia"/>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lang w:val="en-US" w:eastAsia="zh-CN"/>
        </w:rPr>
        <w:t>3</w:t>
      </w:r>
      <w:r>
        <w:rPr>
          <w:rFonts w:hint="eastAsia" w:asciiTheme="minorEastAsia" w:hAnsiTheme="minorEastAsia" w:eastAsiaTheme="minorEastAsia" w:cstheme="minorEastAsia"/>
          <w:kern w:val="0"/>
          <w:sz w:val="24"/>
          <w:szCs w:val="24"/>
          <w:highlight w:val="none"/>
        </w:rPr>
        <w:t>、符合财政部、民政部、中国残联文件（财库[2017]141号）规定的残疾人福利性单位提供本单位制造的货物、承担的工程或服务，或提供其他残疾人福利性单位制造的货物（不包括使用非残疾人福利性单位注册商标的货物）</w:t>
      </w:r>
      <w:r>
        <w:rPr>
          <w:rFonts w:hint="eastAsia" w:asciiTheme="minorEastAsia" w:hAnsiTheme="minorEastAsia" w:eastAsiaTheme="minorEastAsia" w:cstheme="minorEastAsia"/>
          <w:b/>
          <w:bCs/>
          <w:kern w:val="0"/>
          <w:sz w:val="24"/>
          <w:szCs w:val="24"/>
          <w:highlight w:val="none"/>
        </w:rPr>
        <w:t>可享受价格扣除。</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投标人：</w:t>
      </w:r>
      <w:r>
        <w:rPr>
          <w:rFonts w:hint="eastAsia" w:asciiTheme="minorEastAsia" w:hAnsiTheme="minorEastAsia" w:eastAsiaTheme="minorEastAsia" w:cstheme="minorEastAsia"/>
          <w:kern w:val="0"/>
          <w:sz w:val="24"/>
          <w:szCs w:val="24"/>
          <w:highlight w:val="none"/>
          <w:u w:val="single"/>
        </w:rPr>
        <w:t>（全称并加盖单位公章）</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投标人代表签字：</w:t>
      </w:r>
      <w:r>
        <w:rPr>
          <w:rFonts w:hint="eastAsia" w:asciiTheme="minorEastAsia" w:hAnsiTheme="minorEastAsia" w:eastAsiaTheme="minorEastAsia" w:cstheme="minorEastAsia"/>
          <w:kern w:val="0"/>
          <w:sz w:val="24"/>
          <w:szCs w:val="24"/>
          <w:highlight w:val="none"/>
          <w:u w:val="singl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日期：</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年</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月</w:t>
      </w:r>
      <w:r>
        <w:rPr>
          <w:rFonts w:hint="eastAsia" w:asciiTheme="minorEastAsia" w:hAnsiTheme="minorEastAsia" w:eastAsiaTheme="minorEastAsia" w:cstheme="minorEastAsia"/>
          <w:kern w:val="0"/>
          <w:sz w:val="24"/>
          <w:szCs w:val="24"/>
          <w:highlight w:val="none"/>
          <w:u w:val="single"/>
        </w:rPr>
        <w:t>   </w:t>
      </w:r>
      <w:r>
        <w:rPr>
          <w:rFonts w:hint="eastAsia" w:asciiTheme="minorEastAsia" w:hAnsiTheme="minorEastAsia" w:eastAsiaTheme="minorEastAsia" w:cstheme="minorEastAsia"/>
          <w:kern w:val="0"/>
          <w:sz w:val="24"/>
          <w:szCs w:val="24"/>
          <w:highlight w:val="none"/>
        </w:rPr>
        <w:t>日</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b/>
          <w:bCs/>
          <w:kern w:val="0"/>
          <w:sz w:val="24"/>
          <w:szCs w:val="24"/>
          <w:highlight w:val="none"/>
        </w:rPr>
      </w:pPr>
      <w:r>
        <w:rPr>
          <w:rFonts w:hint="eastAsia" w:asciiTheme="minorEastAsia" w:hAnsiTheme="minorEastAsia" w:eastAsiaTheme="minorEastAsia" w:cstheme="minorEastAsia"/>
          <w:kern w:val="0"/>
          <w:sz w:val="24"/>
          <w:szCs w:val="24"/>
          <w:highlight w:val="none"/>
        </w:rPr>
        <w:br w:type="textWrapping"/>
      </w:r>
    </w:p>
    <w:p>
      <w:pPr>
        <w:pStyle w:val="2"/>
        <w:keepNext w:val="0"/>
        <w:keepLines w:val="0"/>
        <w:pageBreakBefore w:val="0"/>
        <w:kinsoku/>
        <w:wordWrap/>
        <w:overflowPunct/>
        <w:topLinePunct w:val="0"/>
        <w:autoSpaceDE/>
        <w:autoSpaceDN/>
        <w:bidi w:val="0"/>
        <w:adjustRightInd/>
        <w:snapToGrid/>
        <w:spacing w:beforeAutospacing="0" w:after="0" w:afterAutospacing="0" w:line="360" w:lineRule="auto"/>
        <w:ind w:firstLine="312"/>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br w:type="page"/>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rPr>
        <w:t>三-3招标文件规定的价格扣除证明材料（若有）</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编制说明</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若投标人可享受招标文件规定的除</w:t>
      </w:r>
      <w:r>
        <w:rPr>
          <w:rFonts w:hint="eastAsia" w:asciiTheme="minorEastAsia" w:hAnsiTheme="minorEastAsia" w:eastAsiaTheme="minorEastAsia" w:cstheme="minorEastAsia"/>
          <w:b/>
          <w:bCs/>
          <w:kern w:val="0"/>
          <w:sz w:val="24"/>
          <w:szCs w:val="24"/>
          <w:highlight w:val="none"/>
        </w:rPr>
        <w:t>“节能（非强制类）、环境标志产品价格扣除”及“小型、微型企业产品等价格扣除”</w:t>
      </w:r>
      <w:r>
        <w:rPr>
          <w:rFonts w:hint="eastAsia" w:asciiTheme="minorEastAsia" w:hAnsiTheme="minorEastAsia" w:eastAsiaTheme="minorEastAsia" w:cstheme="minorEastAsia"/>
          <w:kern w:val="0"/>
          <w:sz w:val="24"/>
          <w:szCs w:val="24"/>
          <w:highlight w:val="none"/>
        </w:rPr>
        <w:t>外的其他价格扣除优惠，则投标人应按照招标文件要求提供相应证明材料。</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color w:val="000000"/>
          <w:sz w:val="24"/>
          <w:szCs w:val="24"/>
          <w:highlight w:val="none"/>
        </w:rPr>
        <w:br w:type="page"/>
      </w:r>
      <w:r>
        <w:rPr>
          <w:rFonts w:hint="eastAsia" w:ascii="宋体" w:hAnsi="宋体" w:eastAsia="宋体" w:cs="宋体"/>
          <w:color w:val="000000"/>
          <w:sz w:val="24"/>
          <w:szCs w:val="24"/>
          <w:highlight w:val="none"/>
          <w:shd w:val="clear" w:color="auto" w:fill="FFFFFF"/>
        </w:rPr>
        <w:t> </w:t>
      </w:r>
    </w:p>
    <w:p>
      <w:pPr>
        <w:pStyle w:val="36"/>
        <w:pageBreakBefore w:val="0"/>
        <w:widowControl/>
        <w:kinsoku/>
        <w:overflowPunct/>
        <w:topLinePunct w:val="0"/>
        <w:autoSpaceDE/>
        <w:autoSpaceDN/>
        <w:bidi w:val="0"/>
        <w:adjustRightInd/>
        <w:spacing w:before="0" w:beforeLines="0" w:beforeAutospacing="0" w:after="0" w:afterLines="0" w:afterAutospacing="0" w:line="360" w:lineRule="auto"/>
        <w:ind w:left="-288" w:right="-288"/>
        <w:jc w:val="center"/>
        <w:textAlignment w:val="auto"/>
        <w:outlineLvl w:val="9"/>
        <w:rPr>
          <w:rFonts w:hint="eastAsia" w:ascii="宋体" w:hAnsi="宋体" w:eastAsia="宋体" w:cs="宋体"/>
          <w:color w:val="000000"/>
          <w:sz w:val="44"/>
          <w:szCs w:val="44"/>
          <w:highlight w:val="none"/>
        </w:rPr>
      </w:pPr>
      <w:r>
        <w:rPr>
          <w:rStyle w:val="43"/>
          <w:rFonts w:hint="eastAsia" w:ascii="宋体" w:hAnsi="宋体" w:eastAsia="宋体" w:cs="宋体"/>
          <w:color w:val="000000"/>
          <w:sz w:val="44"/>
          <w:szCs w:val="44"/>
          <w:highlight w:val="none"/>
          <w:shd w:val="clear" w:color="auto" w:fill="FFFFFF"/>
        </w:rPr>
        <w:t>封面格式</w:t>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72"/>
          <w:szCs w:val="72"/>
          <w:highlight w:val="none"/>
        </w:rPr>
      </w:pPr>
      <w:r>
        <w:rPr>
          <w:rFonts w:hint="eastAsia" w:ascii="宋体" w:hAnsi="宋体" w:eastAsia="宋体" w:cs="宋体"/>
          <w:b/>
          <w:color w:val="000000"/>
          <w:sz w:val="72"/>
          <w:szCs w:val="72"/>
          <w:highlight w:val="none"/>
        </w:rPr>
        <w:t>投  标  文  件</w:t>
      </w:r>
    </w:p>
    <w:p>
      <w:pPr>
        <w:pageBreakBefore w:val="0"/>
        <w:kinsoku/>
        <w:overflowPunct/>
        <w:topLinePunct w:val="0"/>
        <w:autoSpaceDE/>
        <w:autoSpaceDN/>
        <w:bidi w:val="0"/>
        <w:adjustRightInd/>
        <w:spacing w:beforeAutospacing="0" w:afterAutospacing="0" w:line="360" w:lineRule="auto"/>
        <w:jc w:val="center"/>
        <w:textAlignment w:val="auto"/>
        <w:outlineLvl w:val="1"/>
        <w:rPr>
          <w:rFonts w:hint="eastAsia" w:ascii="宋体" w:hAnsi="宋体" w:eastAsia="宋体" w:cs="宋体"/>
          <w:b/>
          <w:color w:val="000000"/>
          <w:sz w:val="72"/>
          <w:szCs w:val="72"/>
          <w:highlight w:val="none"/>
        </w:rPr>
      </w:pPr>
      <w:bookmarkStart w:id="177" w:name="_Toc9391"/>
      <w:r>
        <w:rPr>
          <w:rFonts w:hint="eastAsia" w:ascii="宋体" w:hAnsi="宋体" w:eastAsia="宋体" w:cs="宋体"/>
          <w:b/>
          <w:color w:val="000000"/>
          <w:sz w:val="72"/>
          <w:szCs w:val="72"/>
          <w:highlight w:val="none"/>
        </w:rPr>
        <w:t>（技术商务部分）</w:t>
      </w:r>
      <w:bookmarkEnd w:id="177"/>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904" w:firstLineChars="300"/>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项 目 名 称：</w:t>
      </w:r>
      <w:r>
        <w:rPr>
          <w:rFonts w:hint="eastAsia" w:ascii="宋体" w:hAnsi="宋体" w:eastAsia="宋体" w:cs="宋体"/>
          <w:b/>
          <w:color w:val="000000"/>
          <w:sz w:val="30"/>
          <w:szCs w:val="30"/>
          <w:highlight w:val="none"/>
          <w:u w:val="single"/>
        </w:rPr>
        <w:t xml:space="preserve">               </w:t>
      </w:r>
    </w:p>
    <w:p>
      <w:pPr>
        <w:pageBreakBefore w:val="0"/>
        <w:kinsoku/>
        <w:overflowPunct/>
        <w:topLinePunct w:val="0"/>
        <w:autoSpaceDE/>
        <w:autoSpaceDN/>
        <w:bidi w:val="0"/>
        <w:adjustRightInd/>
        <w:spacing w:beforeAutospacing="0" w:afterAutospacing="0" w:line="360" w:lineRule="auto"/>
        <w:ind w:firstLine="904" w:firstLineChars="300"/>
        <w:textAlignment w:val="auto"/>
        <w:outlineLvl w:val="9"/>
        <w:rPr>
          <w:rFonts w:hint="eastAsia" w:ascii="宋体" w:hAnsi="宋体" w:eastAsia="宋体" w:cs="宋体"/>
          <w:b/>
          <w:color w:val="000000"/>
          <w:sz w:val="30"/>
          <w:szCs w:val="30"/>
          <w:highlight w:val="none"/>
          <w:u w:val="single"/>
        </w:rPr>
      </w:pPr>
      <w:r>
        <w:rPr>
          <w:rFonts w:hint="eastAsia" w:ascii="宋体" w:hAnsi="宋体" w:eastAsia="宋体" w:cs="宋体"/>
          <w:b/>
          <w:color w:val="000000"/>
          <w:sz w:val="30"/>
          <w:szCs w:val="30"/>
          <w:highlight w:val="none"/>
        </w:rPr>
        <w:t>招 标 编 号：</w:t>
      </w:r>
      <w:r>
        <w:rPr>
          <w:rFonts w:hint="eastAsia" w:ascii="宋体" w:hAnsi="宋体" w:eastAsia="宋体" w:cs="宋体"/>
          <w:b/>
          <w:color w:val="000000"/>
          <w:sz w:val="30"/>
          <w:szCs w:val="30"/>
          <w:highlight w:val="none"/>
          <w:u w:val="single"/>
        </w:rPr>
        <w:t xml:space="preserve">               </w:t>
      </w:r>
    </w:p>
    <w:p>
      <w:pPr>
        <w:pageBreakBefore w:val="0"/>
        <w:kinsoku/>
        <w:overflowPunct/>
        <w:topLinePunct w:val="0"/>
        <w:autoSpaceDE/>
        <w:autoSpaceDN/>
        <w:bidi w:val="0"/>
        <w:adjustRightInd/>
        <w:spacing w:beforeAutospacing="0" w:afterAutospacing="0" w:line="360" w:lineRule="auto"/>
        <w:ind w:firstLine="888" w:firstLineChars="295"/>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所投合同包：</w:t>
      </w:r>
      <w:r>
        <w:rPr>
          <w:rFonts w:hint="eastAsia" w:ascii="宋体" w:hAnsi="宋体" w:eastAsia="宋体" w:cs="宋体"/>
          <w:b/>
          <w:color w:val="000000"/>
          <w:sz w:val="30"/>
          <w:szCs w:val="30"/>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u w:val="single"/>
        </w:rPr>
      </w:pPr>
      <w:r>
        <w:rPr>
          <w:rFonts w:hint="eastAsia" w:ascii="宋体" w:hAnsi="宋体" w:eastAsia="宋体" w:cs="宋体"/>
          <w:b/>
          <w:color w:val="000000"/>
          <w:sz w:val="30"/>
          <w:szCs w:val="30"/>
          <w:highlight w:val="none"/>
        </w:rPr>
        <w:t xml:space="preserve">     投标人名称：</w:t>
      </w:r>
      <w:r>
        <w:rPr>
          <w:rFonts w:hint="eastAsia" w:ascii="宋体" w:hAnsi="宋体" w:eastAsia="宋体" w:cs="宋体"/>
          <w:b/>
          <w:color w:val="000000"/>
          <w:sz w:val="30"/>
          <w:szCs w:val="30"/>
          <w:highlight w:val="none"/>
          <w:u w:val="single"/>
        </w:rPr>
        <w:t xml:space="preserve"> （全称并加盖公章）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30"/>
          <w:szCs w:val="30"/>
          <w:highlight w:val="none"/>
        </w:rPr>
        <w:t xml:space="preserve">     日      期 ：</w:t>
      </w:r>
      <w:r>
        <w:rPr>
          <w:rFonts w:hint="eastAsia" w:ascii="宋体" w:hAnsi="宋体" w:eastAsia="宋体" w:cs="宋体"/>
          <w:b/>
          <w:color w:val="000000"/>
          <w:sz w:val="30"/>
          <w:szCs w:val="30"/>
          <w:highlight w:val="none"/>
          <w:u w:val="single"/>
        </w:rPr>
        <w:t xml:space="preserve">               </w:t>
      </w:r>
    </w:p>
    <w:p>
      <w:pPr>
        <w:pStyle w:val="126"/>
        <w:pageBreakBefore w:val="0"/>
        <w:kinsoku/>
        <w:overflowPunct/>
        <w:topLinePunct w:val="0"/>
        <w:autoSpaceDE/>
        <w:autoSpaceDN/>
        <w:bidi w:val="0"/>
        <w:adjustRightInd/>
        <w:snapToGrid w:val="0"/>
        <w:spacing w:beforeAutospacing="0" w:afterAutospacing="0" w:line="360" w:lineRule="auto"/>
        <w:ind w:firstLine="0"/>
        <w:textAlignment w:val="auto"/>
        <w:outlineLvl w:val="9"/>
        <w:rPr>
          <w:rFonts w:hint="eastAsia" w:ascii="宋体" w:hAnsi="宋体" w:eastAsia="宋体" w:cs="宋体"/>
          <w:b/>
          <w:bCs/>
          <w:color w:val="000000"/>
          <w:sz w:val="24"/>
          <w:szCs w:val="24"/>
          <w:highlight w:val="none"/>
        </w:rPr>
      </w:pPr>
    </w:p>
    <w:p>
      <w:pPr>
        <w:pStyle w:val="36"/>
        <w:pageBreakBefore w:val="0"/>
        <w:widowControl/>
        <w:kinsoku/>
        <w:overflowPunct/>
        <w:topLinePunct w:val="0"/>
        <w:autoSpaceDE/>
        <w:autoSpaceDN/>
        <w:bidi w:val="0"/>
        <w:adjustRightInd/>
        <w:spacing w:before="0" w:beforeLines="0" w:beforeAutospacing="0" w:after="0" w:afterLines="0" w:afterAutospacing="0" w:line="360" w:lineRule="auto"/>
        <w:ind w:left="-288" w:right="-288"/>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shd w:val="clear" w:color="auto" w:fill="FFFFFF"/>
        </w:rPr>
        <w:t> </w:t>
      </w:r>
    </w:p>
    <w:p>
      <w:pPr>
        <w:pStyle w:val="36"/>
        <w:pageBreakBefore w:val="0"/>
        <w:widowControl/>
        <w:kinsoku/>
        <w:overflowPunct/>
        <w:topLinePunct w:val="0"/>
        <w:autoSpaceDE/>
        <w:autoSpaceDN/>
        <w:bidi w:val="0"/>
        <w:adjustRightInd/>
        <w:spacing w:before="0" w:beforeLines="0" w:beforeAutospacing="0" w:after="0" w:afterLines="0" w:afterAutospacing="0" w:line="360" w:lineRule="auto"/>
        <w:ind w:left="-288" w:right="-288"/>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shd w:val="clear" w:color="auto" w:fill="FFFFFF"/>
        </w:rPr>
        <w:t> </w:t>
      </w:r>
    </w:p>
    <w:p>
      <w:pPr>
        <w:pStyle w:val="36"/>
        <w:pageBreakBefore w:val="0"/>
        <w:kinsoku/>
        <w:overflowPunct/>
        <w:topLinePunct w:val="0"/>
        <w:autoSpaceDE/>
        <w:autoSpaceDN/>
        <w:bidi w:val="0"/>
        <w:adjustRightInd/>
        <w:spacing w:before="0" w:beforeLines="0" w:beforeAutospacing="0" w:after="0" w:afterLines="0" w:afterAutospacing="0" w:line="360" w:lineRule="auto"/>
        <w:jc w:val="center"/>
        <w:textAlignment w:val="auto"/>
        <w:outlineLvl w:val="9"/>
        <w:rPr>
          <w:rFonts w:hint="eastAsia" w:ascii="宋体" w:hAnsi="宋体" w:eastAsia="宋体" w:cs="宋体"/>
          <w:color w:val="000000"/>
          <w:sz w:val="32"/>
          <w:szCs w:val="32"/>
          <w:highlight w:val="none"/>
        </w:rPr>
      </w:pPr>
      <w:r>
        <w:rPr>
          <w:rStyle w:val="43"/>
          <w:rFonts w:hint="eastAsia" w:ascii="宋体" w:hAnsi="宋体" w:eastAsia="宋体" w:cs="宋体"/>
          <w:color w:val="000000"/>
          <w:sz w:val="32"/>
          <w:szCs w:val="32"/>
          <w:highlight w:val="none"/>
        </w:rPr>
        <w:t>索</w:t>
      </w:r>
      <w:r>
        <w:rPr>
          <w:rStyle w:val="43"/>
          <w:rFonts w:hint="eastAsia" w:ascii="宋体" w:hAnsi="宋体" w:eastAsia="宋体" w:cs="宋体"/>
          <w:color w:val="000000"/>
          <w:sz w:val="32"/>
          <w:szCs w:val="32"/>
          <w:highlight w:val="none"/>
          <w:lang w:val="en-US" w:eastAsia="zh-CN"/>
        </w:rPr>
        <w:t xml:space="preserve">  </w:t>
      </w:r>
      <w:r>
        <w:rPr>
          <w:rStyle w:val="43"/>
          <w:rFonts w:hint="eastAsia" w:ascii="宋体" w:hAnsi="宋体" w:eastAsia="宋体" w:cs="宋体"/>
          <w:color w:val="000000"/>
          <w:sz w:val="32"/>
          <w:szCs w:val="32"/>
          <w:highlight w:val="none"/>
        </w:rPr>
        <w:t>引</w:t>
      </w:r>
    </w:p>
    <w:p>
      <w:pPr>
        <w:pStyle w:val="36"/>
        <w:pageBreakBefore w:val="0"/>
        <w:numPr>
          <w:ilvl w:val="0"/>
          <w:numId w:val="0"/>
        </w:numPr>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numPr>
          <w:ilvl w:val="0"/>
          <w:numId w:val="8"/>
        </w:numPr>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标的说明一览表</w:t>
      </w:r>
    </w:p>
    <w:p>
      <w:pPr>
        <w:pStyle w:val="36"/>
        <w:pageBreakBefore w:val="0"/>
        <w:numPr>
          <w:ilvl w:val="0"/>
          <w:numId w:val="8"/>
        </w:numPr>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技术参数偏离表和商务偏离表</w:t>
      </w:r>
    </w:p>
    <w:p>
      <w:pPr>
        <w:pStyle w:val="36"/>
        <w:pageBreakBefore w:val="0"/>
        <w:numPr>
          <w:ilvl w:val="0"/>
          <w:numId w:val="8"/>
        </w:numPr>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质量保证及售后服务承诺书</w:t>
      </w:r>
    </w:p>
    <w:p>
      <w:pPr>
        <w:pStyle w:val="36"/>
        <w:pageBreakBefore w:val="0"/>
        <w:numPr>
          <w:ilvl w:val="0"/>
          <w:numId w:val="8"/>
        </w:numPr>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投标人提交的其他资料（若有）</w:t>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rPr>
        <w:br w:type="page"/>
      </w:r>
      <w:r>
        <w:rPr>
          <w:rFonts w:hint="eastAsia" w:ascii="宋体" w:hAnsi="宋体" w:eastAsia="宋体" w:cs="宋体"/>
          <w:b/>
          <w:color w:val="000000"/>
          <w:sz w:val="30"/>
          <w:szCs w:val="30"/>
          <w:highlight w:val="none"/>
        </w:rPr>
        <w:t>一、标的说明一览表</w:t>
      </w:r>
      <w:r>
        <w:rPr>
          <w:rFonts w:hint="eastAsia" w:ascii="宋体" w:hAnsi="宋体" w:eastAsia="宋体" w:cs="宋体"/>
          <w:b/>
          <w:color w:val="000000"/>
          <w:sz w:val="30"/>
          <w:szCs w:val="30"/>
          <w:highlight w:val="none"/>
        </w:rPr>
        <w:br w:type="textWrapping"/>
      </w:r>
      <w:r>
        <w:rPr>
          <w:rFonts w:hint="eastAsia" w:ascii="宋体" w:hAnsi="宋体" w:eastAsia="宋体" w:cs="宋体"/>
          <w:color w:val="000000"/>
          <w:sz w:val="24"/>
          <w:szCs w:val="24"/>
          <w:highlight w:val="none"/>
        </w:rPr>
        <w:t xml:space="preserve"> （按投标合同包下品目号类别分别填写）</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bl>
      <w:tblPr>
        <w:tblStyle w:val="40"/>
        <w:tblW w:w="99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2002"/>
        <w:gridCol w:w="1342"/>
        <w:gridCol w:w="2002"/>
        <w:gridCol w:w="1344"/>
        <w:gridCol w:w="1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341"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合同包号</w:t>
            </w:r>
          </w:p>
        </w:tc>
        <w:tc>
          <w:tcPr>
            <w:tcW w:w="2002"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p>
        </w:tc>
        <w:tc>
          <w:tcPr>
            <w:tcW w:w="1342"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项目</w:t>
            </w:r>
            <w:r>
              <w:rPr>
                <w:rFonts w:hint="eastAsia" w:ascii="宋体" w:hAnsi="宋体" w:eastAsia="宋体" w:cs="宋体"/>
                <w:color w:val="auto"/>
                <w:sz w:val="24"/>
                <w:highlight w:val="none"/>
              </w:rPr>
              <w:t>名称</w:t>
            </w:r>
          </w:p>
        </w:tc>
        <w:tc>
          <w:tcPr>
            <w:tcW w:w="2002"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p>
        </w:tc>
        <w:tc>
          <w:tcPr>
            <w:tcW w:w="13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品牌</w:t>
            </w:r>
          </w:p>
        </w:tc>
        <w:tc>
          <w:tcPr>
            <w:tcW w:w="1908"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341"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型号</w:t>
            </w:r>
          </w:p>
        </w:tc>
        <w:tc>
          <w:tcPr>
            <w:tcW w:w="2002"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p>
        </w:tc>
        <w:tc>
          <w:tcPr>
            <w:tcW w:w="1342"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规格</w:t>
            </w:r>
          </w:p>
        </w:tc>
        <w:tc>
          <w:tcPr>
            <w:tcW w:w="2002"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p>
        </w:tc>
        <w:tc>
          <w:tcPr>
            <w:tcW w:w="1344"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数量</w:t>
            </w:r>
          </w:p>
        </w:tc>
        <w:tc>
          <w:tcPr>
            <w:tcW w:w="1908" w:type="dxa"/>
            <w:vAlign w:val="center"/>
          </w:tcPr>
          <w:p>
            <w:pPr>
              <w:keepNext w:val="0"/>
              <w:keepLines w:val="0"/>
              <w:pageBreakBefore w:val="0"/>
              <w:kinsoku/>
              <w:overflowPunct/>
              <w:autoSpaceDE/>
              <w:autoSpaceDN/>
              <w:bidi w:val="0"/>
              <w:spacing w:line="360" w:lineRule="auto"/>
              <w:jc w:val="center"/>
              <w:textAlignment w:val="auto"/>
              <w:outlineLvl w:val="9"/>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2" w:hRule="atLeast"/>
        </w:trPr>
        <w:tc>
          <w:tcPr>
            <w:tcW w:w="9939" w:type="dxa"/>
            <w:gridSpan w:val="6"/>
            <w:vAlign w:val="top"/>
          </w:tcPr>
          <w:p>
            <w:pPr>
              <w:keepNext w:val="0"/>
              <w:keepLines w:val="0"/>
              <w:pageBreakBefore w:val="0"/>
              <w:kinsoku/>
              <w:overflowPunct/>
              <w:autoSpaceDE/>
              <w:autoSpaceDN/>
              <w:bidi w:val="0"/>
              <w:spacing w:line="360" w:lineRule="auto"/>
              <w:textAlignment w:val="auto"/>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rPr>
              <w:t>详细性能说明</w:t>
            </w:r>
          </w:p>
        </w:tc>
      </w:tr>
    </w:tbl>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投标人代表签字： </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投标人（全称并加盖公章）：</w:t>
      </w:r>
      <w:r>
        <w:rPr>
          <w:rFonts w:hint="eastAsia" w:ascii="宋体" w:hAnsi="宋体" w:eastAsia="宋体" w:cs="宋体"/>
          <w:color w:val="000000"/>
          <w:sz w:val="24"/>
          <w:szCs w:val="24"/>
          <w:highlight w:val="none"/>
          <w:u w:val="single"/>
        </w:rPr>
        <w:t xml:space="preserve">                       </w:t>
      </w:r>
    </w:p>
    <w:p>
      <w:pPr>
        <w:pStyle w:val="36"/>
        <w:pageBreakBefore w:val="0"/>
        <w:kinsoku/>
        <w:overflowPunct/>
        <w:topLinePunct w:val="0"/>
        <w:autoSpaceDE/>
        <w:autoSpaceDN/>
        <w:bidi w:val="0"/>
        <w:adjustRightInd/>
        <w:spacing w:before="0" w:beforeLines="0" w:beforeAutospacing="0" w:after="0" w:afterLines="0" w:afterAutospacing="0" w:line="360" w:lineRule="auto"/>
        <w:textAlignment w:val="auto"/>
        <w:outlineLvl w:val="9"/>
        <w:rPr>
          <w:rFonts w:hint="eastAsia" w:ascii="宋体" w:hAnsi="宋体" w:eastAsia="宋体" w:cs="宋体"/>
          <w:color w:val="000000"/>
          <w:sz w:val="24"/>
          <w:szCs w:val="24"/>
          <w:highlight w:val="none"/>
        </w:rPr>
        <w:sectPr>
          <w:headerReference r:id="rId9" w:type="default"/>
          <w:footerReference r:id="rId10" w:type="default"/>
          <w:pgSz w:w="11905" w:h="16838"/>
          <w:pgMar w:top="1417" w:right="1417" w:bottom="964" w:left="1474" w:header="794" w:footer="737" w:gutter="0"/>
          <w:pgNumType w:fmt="decimal"/>
          <w:cols w:space="0" w:num="1"/>
          <w:rtlGutter w:val="0"/>
          <w:docGrid w:linePitch="323" w:charSpace="-2"/>
        </w:sectPr>
      </w:pPr>
      <w:r>
        <w:rPr>
          <w:rFonts w:hint="eastAsia" w:ascii="宋体" w:hAnsi="宋体" w:eastAsia="宋体" w:cs="宋体"/>
          <w:color w:val="000000"/>
          <w:sz w:val="24"/>
          <w:szCs w:val="24"/>
          <w:highlight w:val="none"/>
        </w:rPr>
        <w:t xml:space="preserve">日  期：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年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月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p>
    <w:p>
      <w:pPr>
        <w:pStyle w:val="22"/>
        <w:pageBreakBefore w:val="0"/>
        <w:kinsoku/>
        <w:overflowPunct/>
        <w:topLinePunct w:val="0"/>
        <w:autoSpaceDE/>
        <w:autoSpaceDN/>
        <w:bidi w:val="0"/>
        <w:adjustRightInd/>
        <w:snapToGrid w:val="0"/>
        <w:spacing w:beforeAutospacing="0" w:afterAutospacing="0" w:line="360" w:lineRule="auto"/>
        <w:jc w:val="left"/>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b/>
          <w:color w:val="000000"/>
          <w:sz w:val="24"/>
          <w:szCs w:val="24"/>
          <w:highlight w:val="none"/>
        </w:rPr>
        <w:br w:type="page"/>
      </w:r>
    </w:p>
    <w:p>
      <w:pPr>
        <w:pStyle w:val="93"/>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30"/>
          <w:szCs w:val="30"/>
          <w:highlight w:val="none"/>
        </w:rPr>
      </w:pPr>
      <w:bookmarkStart w:id="178" w:name="_Toc14889"/>
      <w:bookmarkStart w:id="179" w:name="_Toc11549"/>
      <w:bookmarkStart w:id="180" w:name="_Toc23675"/>
      <w:bookmarkStart w:id="181" w:name="_Toc15055"/>
      <w:r>
        <w:rPr>
          <w:rFonts w:hint="eastAsia" w:ascii="宋体" w:hAnsi="宋体" w:eastAsia="宋体" w:cs="宋体"/>
          <w:color w:val="000000"/>
          <w:sz w:val="30"/>
          <w:szCs w:val="30"/>
          <w:highlight w:val="none"/>
          <w:lang w:eastAsia="zh-CN"/>
        </w:rPr>
        <w:t>二</w:t>
      </w:r>
      <w:r>
        <w:rPr>
          <w:rFonts w:hint="eastAsia" w:ascii="宋体" w:hAnsi="宋体" w:eastAsia="宋体" w:cs="宋体"/>
          <w:color w:val="000000"/>
          <w:sz w:val="30"/>
          <w:szCs w:val="30"/>
          <w:highlight w:val="none"/>
        </w:rPr>
        <w:t>、</w:t>
      </w:r>
      <w:r>
        <w:rPr>
          <w:rFonts w:hint="eastAsia" w:ascii="宋体" w:hAnsi="宋体" w:eastAsia="宋体" w:cs="宋体"/>
          <w:b/>
          <w:color w:val="000000"/>
          <w:sz w:val="30"/>
          <w:szCs w:val="30"/>
          <w:highlight w:val="none"/>
        </w:rPr>
        <w:t>技术参数偏离表和商务偏离表</w:t>
      </w:r>
      <w:bookmarkEnd w:id="178"/>
      <w:bookmarkEnd w:id="179"/>
      <w:bookmarkEnd w:id="180"/>
      <w:bookmarkEnd w:id="181"/>
    </w:p>
    <w:p>
      <w:pPr>
        <w:pStyle w:val="93"/>
        <w:pageBreakBefore w:val="0"/>
        <w:kinsoku/>
        <w:overflowPunct/>
        <w:topLinePunct w:val="0"/>
        <w:autoSpaceDE/>
        <w:autoSpaceDN/>
        <w:bidi w:val="0"/>
        <w:adjustRightInd/>
        <w:spacing w:beforeAutospacing="0" w:afterAutospacing="0" w:line="360" w:lineRule="auto"/>
        <w:ind w:left="15" w:leftChars="0" w:hanging="15" w:hangingChars="5"/>
        <w:jc w:val="center"/>
        <w:textAlignment w:val="auto"/>
        <w:outlineLvl w:val="9"/>
        <w:rPr>
          <w:rFonts w:hint="eastAsia" w:ascii="宋体" w:hAnsi="宋体" w:eastAsia="宋体" w:cs="宋体"/>
          <w:b/>
          <w:color w:val="000000"/>
          <w:sz w:val="30"/>
          <w:szCs w:val="30"/>
          <w:highlight w:val="none"/>
        </w:rPr>
      </w:pPr>
      <w:bookmarkStart w:id="182" w:name="_Toc10635"/>
      <w:bookmarkStart w:id="183" w:name="_Toc20451"/>
      <w:bookmarkStart w:id="184" w:name="_Toc31537"/>
      <w:bookmarkStart w:id="185" w:name="_Toc1228"/>
      <w:r>
        <w:rPr>
          <w:rFonts w:hint="eastAsia" w:ascii="宋体" w:hAnsi="宋体" w:eastAsia="宋体" w:cs="宋体"/>
          <w:b/>
          <w:color w:val="000000"/>
          <w:sz w:val="30"/>
          <w:szCs w:val="30"/>
          <w:highlight w:val="none"/>
        </w:rPr>
        <w:t>1、技术参数偏离表</w:t>
      </w:r>
      <w:bookmarkEnd w:id="182"/>
      <w:bookmarkEnd w:id="183"/>
      <w:bookmarkEnd w:id="184"/>
      <w:bookmarkEnd w:id="185"/>
    </w:p>
    <w:p>
      <w:pPr>
        <w:pStyle w:val="93"/>
        <w:pageBreakBefore w:val="0"/>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bl>
      <w:tblPr>
        <w:tblStyle w:val="40"/>
        <w:tblW w:w="93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8"/>
        <w:gridCol w:w="1277"/>
        <w:gridCol w:w="1180"/>
        <w:gridCol w:w="1750"/>
        <w:gridCol w:w="1191"/>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5" w:hRule="atLeast"/>
          <w:jc w:val="center"/>
        </w:trPr>
        <w:tc>
          <w:tcPr>
            <w:tcW w:w="2718"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条款要求</w:t>
            </w:r>
          </w:p>
        </w:tc>
        <w:tc>
          <w:tcPr>
            <w:tcW w:w="1277"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项目</w:t>
            </w:r>
            <w:r>
              <w:rPr>
                <w:rFonts w:hint="eastAsia" w:ascii="宋体" w:hAnsi="宋体" w:eastAsia="宋体" w:cs="宋体"/>
                <w:color w:val="000000"/>
                <w:sz w:val="24"/>
                <w:szCs w:val="24"/>
                <w:highlight w:val="none"/>
              </w:rPr>
              <w:t>名称</w:t>
            </w:r>
          </w:p>
        </w:tc>
        <w:tc>
          <w:tcPr>
            <w:tcW w:w="118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条目号</w:t>
            </w:r>
          </w:p>
        </w:tc>
        <w:tc>
          <w:tcPr>
            <w:tcW w:w="175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招标技术要求</w:t>
            </w:r>
          </w:p>
        </w:tc>
        <w:tc>
          <w:tcPr>
            <w:tcW w:w="1191"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投标</w:t>
            </w:r>
            <w:r>
              <w:rPr>
                <w:rFonts w:hint="eastAsia" w:ascii="宋体" w:hAnsi="宋体" w:eastAsia="宋体" w:cs="宋体"/>
                <w:color w:val="000000"/>
                <w:sz w:val="24"/>
                <w:szCs w:val="24"/>
                <w:highlight w:val="none"/>
                <w:lang w:eastAsia="zh-CN"/>
              </w:rPr>
              <w:t>响应</w:t>
            </w:r>
          </w:p>
        </w:tc>
        <w:tc>
          <w:tcPr>
            <w:tcW w:w="1231"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jc w:val="center"/>
        </w:trPr>
        <w:tc>
          <w:tcPr>
            <w:tcW w:w="2718" w:type="dxa"/>
            <w:vMerge w:val="restart"/>
            <w:tcBorders>
              <w:top w:val="single" w:color="auto" w:sz="4" w:space="0"/>
              <w:left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ind w:right="113"/>
              <w:jc w:val="both"/>
              <w:textAlignment w:val="auto"/>
              <w:outlineLvl w:val="9"/>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eastAsia="zh-CN"/>
              </w:rPr>
              <w:t>招标文件第三章</w:t>
            </w:r>
            <w:r>
              <w:rPr>
                <w:rFonts w:hint="eastAsia" w:ascii="宋体" w:hAnsi="宋体" w:eastAsia="宋体" w:cs="宋体"/>
                <w:color w:val="000000"/>
                <w:sz w:val="24"/>
                <w:szCs w:val="24"/>
                <w:highlight w:val="none"/>
                <w:lang w:val="en-US" w:eastAsia="zh-CN"/>
              </w:rPr>
              <w:t xml:space="preserve"> 《招标内容及要求》 </w:t>
            </w:r>
            <w:r>
              <w:rPr>
                <w:rFonts w:hint="eastAsia" w:ascii="宋体" w:hAnsi="宋体" w:eastAsia="宋体" w:cs="宋体"/>
                <w:color w:val="000000"/>
                <w:sz w:val="24"/>
                <w:szCs w:val="24"/>
                <w:highlight w:val="none"/>
                <w:lang w:eastAsia="zh-CN"/>
              </w:rPr>
              <w:t>二、技术要求</w:t>
            </w:r>
          </w:p>
        </w:tc>
        <w:tc>
          <w:tcPr>
            <w:tcW w:w="1277" w:type="dxa"/>
            <w:tcBorders>
              <w:top w:val="single" w:color="auto" w:sz="4" w:space="0"/>
              <w:left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ind w:left="113" w:leftChars="54" w:right="113" w:firstLine="240" w:firstLineChars="100"/>
              <w:jc w:val="center"/>
              <w:textAlignment w:val="auto"/>
              <w:outlineLvl w:val="9"/>
              <w:rPr>
                <w:rFonts w:hint="eastAsia" w:ascii="宋体" w:hAnsi="宋体" w:eastAsia="宋体" w:cs="宋体"/>
                <w:color w:val="000000"/>
                <w:sz w:val="24"/>
                <w:szCs w:val="24"/>
                <w:highlight w:val="none"/>
              </w:rPr>
            </w:pPr>
          </w:p>
        </w:tc>
        <w:tc>
          <w:tcPr>
            <w:tcW w:w="118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p>
        </w:tc>
        <w:tc>
          <w:tcPr>
            <w:tcW w:w="175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ind w:right="206" w:rightChars="98"/>
              <w:textAlignment w:val="auto"/>
              <w:outlineLvl w:val="9"/>
              <w:rPr>
                <w:rFonts w:hint="eastAsia" w:ascii="宋体" w:hAnsi="宋体" w:eastAsia="宋体" w:cs="宋体"/>
                <w:bCs/>
                <w:color w:val="000000"/>
                <w:sz w:val="24"/>
                <w:szCs w:val="24"/>
                <w:highlight w:val="none"/>
              </w:rPr>
            </w:pPr>
          </w:p>
        </w:tc>
        <w:tc>
          <w:tcPr>
            <w:tcW w:w="119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23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2718" w:type="dxa"/>
            <w:vMerge w:val="continue"/>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277" w:type="dxa"/>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18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p>
        </w:tc>
        <w:tc>
          <w:tcPr>
            <w:tcW w:w="175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19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23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2718" w:type="dxa"/>
            <w:vMerge w:val="continue"/>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277" w:type="dxa"/>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18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p>
        </w:tc>
        <w:tc>
          <w:tcPr>
            <w:tcW w:w="175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19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23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2718" w:type="dxa"/>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277" w:type="dxa"/>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18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pacing w:val="-14"/>
                <w:sz w:val="24"/>
                <w:szCs w:val="24"/>
                <w:highlight w:val="none"/>
              </w:rPr>
            </w:pPr>
            <w:r>
              <w:rPr>
                <w:rFonts w:hint="eastAsia" w:ascii="宋体" w:hAnsi="宋体" w:eastAsia="宋体" w:cs="宋体"/>
                <w:color w:val="000000"/>
                <w:spacing w:val="-14"/>
                <w:sz w:val="24"/>
                <w:szCs w:val="24"/>
                <w:highlight w:val="none"/>
              </w:rPr>
              <w:t>……</w:t>
            </w:r>
          </w:p>
        </w:tc>
        <w:tc>
          <w:tcPr>
            <w:tcW w:w="175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19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23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r>
    </w:tbl>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w:t>
      </w:r>
    </w:p>
    <w:p>
      <w:pPr>
        <w:pageBreakBefore w:val="0"/>
        <w:kinsoku/>
        <w:overflowPunct/>
        <w:topLinePunct w:val="0"/>
        <w:autoSpaceDE/>
        <w:autoSpaceDN/>
        <w:bidi w:val="0"/>
        <w:adjustRightInd/>
        <w:spacing w:beforeAutospacing="0" w:afterAutospacing="0" w:line="360" w:lineRule="auto"/>
        <w:ind w:firstLine="482" w:firstLineChars="200"/>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1、为使评标专家准确理解及保证评标工作顺利进行，请投标公司针对招标文件的要求，结合投标产品的实际逐条进行相对应的应答，否则按无效标处理。</w:t>
      </w:r>
    </w:p>
    <w:p>
      <w:pPr>
        <w:pageBreakBefore w:val="0"/>
        <w:kinsoku/>
        <w:overflowPunct/>
        <w:topLinePunct w:val="0"/>
        <w:autoSpaceDE/>
        <w:autoSpaceDN/>
        <w:bidi w:val="0"/>
        <w:adjustRightInd/>
        <w:spacing w:beforeAutospacing="0" w:afterAutospacing="0" w:line="360" w:lineRule="auto"/>
        <w:ind w:firstLine="482" w:firstLineChars="200"/>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2、偏离说明中填写“正偏离”、“负偏离”及“无偏离”，不得在“投标技术参数”栏中完全照搬招标文件的内容或仅出现“响应”字样，未按要求填写者按无效标处理。</w:t>
      </w:r>
    </w:p>
    <w:p>
      <w:pPr>
        <w:pageBreakBefore w:val="0"/>
        <w:kinsoku/>
        <w:overflowPunct/>
        <w:topLinePunct w:val="0"/>
        <w:autoSpaceDE/>
        <w:autoSpaceDN/>
        <w:bidi w:val="0"/>
        <w:adjustRightInd/>
        <w:spacing w:beforeAutospacing="0" w:afterAutospacing="0" w:line="360" w:lineRule="auto"/>
        <w:ind w:firstLine="482" w:firstLineChars="200"/>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3、投标人提交的投标技术参数与招标文件的“第三章 二、技术参数及要求”须逐条对应列在偏离表中。若无详细技术参数偏离表则视为没有实质性响应招标文件要求）（投标人制表时应删除此段话）</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投标人代表签字： </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投标人（全称并加盖公章）：</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日  期：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年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月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p>
    <w:p>
      <w:pPr>
        <w:pStyle w:val="93"/>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Style w:val="93"/>
        <w:pageBreakBefore w:val="0"/>
        <w:kinsoku/>
        <w:overflowPunct/>
        <w:topLinePunct w:val="0"/>
        <w:autoSpaceDE/>
        <w:autoSpaceDN/>
        <w:bidi w:val="0"/>
        <w:adjustRightInd/>
        <w:spacing w:beforeAutospacing="0" w:afterAutospacing="0" w:line="360" w:lineRule="auto"/>
        <w:ind w:left="0" w:leftChars="0" w:firstLine="0" w:firstLineChars="0"/>
        <w:jc w:val="center"/>
        <w:textAlignment w:val="auto"/>
        <w:outlineLvl w:val="9"/>
        <w:rPr>
          <w:rFonts w:hint="eastAsia" w:ascii="宋体" w:hAnsi="宋体" w:eastAsia="宋体" w:cs="宋体"/>
          <w:b/>
          <w:color w:val="000000"/>
          <w:sz w:val="30"/>
          <w:szCs w:val="30"/>
          <w:highlight w:val="none"/>
        </w:rPr>
      </w:pPr>
      <w:r>
        <w:rPr>
          <w:rFonts w:hint="eastAsia" w:ascii="宋体" w:hAnsi="宋体" w:eastAsia="宋体" w:cs="宋体"/>
          <w:b/>
          <w:color w:val="000000"/>
          <w:sz w:val="24"/>
          <w:szCs w:val="24"/>
          <w:highlight w:val="none"/>
        </w:rPr>
        <w:br w:type="page"/>
      </w:r>
      <w:bookmarkStart w:id="186" w:name="_Toc5610"/>
      <w:bookmarkStart w:id="187" w:name="_Toc11677"/>
      <w:bookmarkStart w:id="188" w:name="_Toc12847"/>
      <w:bookmarkStart w:id="189" w:name="_Toc29300"/>
      <w:r>
        <w:rPr>
          <w:rFonts w:hint="eastAsia" w:ascii="宋体" w:hAnsi="宋体" w:eastAsia="宋体" w:cs="宋体"/>
          <w:b/>
          <w:color w:val="000000"/>
          <w:sz w:val="30"/>
          <w:szCs w:val="30"/>
          <w:highlight w:val="none"/>
        </w:rPr>
        <w:t>2、商务偏离表</w:t>
      </w:r>
      <w:bookmarkEnd w:id="186"/>
      <w:bookmarkEnd w:id="187"/>
      <w:bookmarkEnd w:id="188"/>
      <w:bookmarkEnd w:id="189"/>
    </w:p>
    <w:p>
      <w:pPr>
        <w:pStyle w:val="93"/>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24"/>
          <w:szCs w:val="24"/>
          <w:highlight w:val="none"/>
        </w:rPr>
      </w:pPr>
    </w:p>
    <w:tbl>
      <w:tblPr>
        <w:tblStyle w:val="40"/>
        <w:tblW w:w="93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8"/>
        <w:gridCol w:w="1277"/>
        <w:gridCol w:w="1180"/>
        <w:gridCol w:w="1750"/>
        <w:gridCol w:w="1191"/>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5" w:hRule="atLeast"/>
          <w:jc w:val="center"/>
        </w:trPr>
        <w:tc>
          <w:tcPr>
            <w:tcW w:w="2718"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条款要求</w:t>
            </w:r>
          </w:p>
        </w:tc>
        <w:tc>
          <w:tcPr>
            <w:tcW w:w="1277"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eastAsia="zh-CN"/>
              </w:rPr>
              <w:t>项目</w:t>
            </w:r>
            <w:r>
              <w:rPr>
                <w:rFonts w:hint="eastAsia" w:ascii="宋体" w:hAnsi="宋体" w:eastAsia="宋体" w:cs="宋体"/>
                <w:color w:val="000000"/>
                <w:sz w:val="24"/>
                <w:szCs w:val="24"/>
                <w:highlight w:val="none"/>
              </w:rPr>
              <w:t>名称</w:t>
            </w:r>
          </w:p>
        </w:tc>
        <w:tc>
          <w:tcPr>
            <w:tcW w:w="118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条目号</w:t>
            </w:r>
          </w:p>
        </w:tc>
        <w:tc>
          <w:tcPr>
            <w:tcW w:w="175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招标技术要求</w:t>
            </w:r>
          </w:p>
        </w:tc>
        <w:tc>
          <w:tcPr>
            <w:tcW w:w="1191"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投标</w:t>
            </w:r>
            <w:r>
              <w:rPr>
                <w:rFonts w:hint="eastAsia" w:ascii="宋体" w:hAnsi="宋体" w:eastAsia="宋体" w:cs="宋体"/>
                <w:color w:val="000000"/>
                <w:sz w:val="24"/>
                <w:szCs w:val="24"/>
                <w:highlight w:val="none"/>
                <w:lang w:eastAsia="zh-CN"/>
              </w:rPr>
              <w:t>响应</w:t>
            </w:r>
          </w:p>
        </w:tc>
        <w:tc>
          <w:tcPr>
            <w:tcW w:w="1231"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jc w:val="center"/>
        </w:trPr>
        <w:tc>
          <w:tcPr>
            <w:tcW w:w="2718" w:type="dxa"/>
            <w:vMerge w:val="restart"/>
            <w:tcBorders>
              <w:top w:val="single" w:color="auto" w:sz="4" w:space="0"/>
              <w:left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ind w:right="113"/>
              <w:jc w:val="both"/>
              <w:textAlignment w:val="auto"/>
              <w:outlineLvl w:val="9"/>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eastAsia="zh-CN"/>
              </w:rPr>
              <w:t>招标文件第三章</w:t>
            </w:r>
            <w:r>
              <w:rPr>
                <w:rFonts w:hint="eastAsia" w:ascii="宋体" w:hAnsi="宋体" w:eastAsia="宋体" w:cs="宋体"/>
                <w:color w:val="000000"/>
                <w:sz w:val="24"/>
                <w:szCs w:val="24"/>
                <w:highlight w:val="none"/>
                <w:lang w:val="en-US" w:eastAsia="zh-CN"/>
              </w:rPr>
              <w:t xml:space="preserve"> 《招标内容及要求》 三、商务要求</w:t>
            </w:r>
          </w:p>
        </w:tc>
        <w:tc>
          <w:tcPr>
            <w:tcW w:w="1277" w:type="dxa"/>
            <w:tcBorders>
              <w:top w:val="single" w:color="auto" w:sz="4" w:space="0"/>
              <w:left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ind w:left="113" w:leftChars="54" w:right="113" w:firstLine="240" w:firstLineChars="100"/>
              <w:jc w:val="center"/>
              <w:textAlignment w:val="auto"/>
              <w:outlineLvl w:val="9"/>
              <w:rPr>
                <w:rFonts w:hint="eastAsia" w:ascii="宋体" w:hAnsi="宋体" w:eastAsia="宋体" w:cs="宋体"/>
                <w:color w:val="000000"/>
                <w:sz w:val="24"/>
                <w:szCs w:val="24"/>
                <w:highlight w:val="none"/>
              </w:rPr>
            </w:pPr>
          </w:p>
        </w:tc>
        <w:tc>
          <w:tcPr>
            <w:tcW w:w="118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p>
        </w:tc>
        <w:tc>
          <w:tcPr>
            <w:tcW w:w="175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ind w:right="206" w:rightChars="98"/>
              <w:textAlignment w:val="auto"/>
              <w:outlineLvl w:val="9"/>
              <w:rPr>
                <w:rFonts w:hint="eastAsia" w:ascii="宋体" w:hAnsi="宋体" w:eastAsia="宋体" w:cs="宋体"/>
                <w:bCs/>
                <w:color w:val="000000"/>
                <w:sz w:val="24"/>
                <w:szCs w:val="24"/>
                <w:highlight w:val="none"/>
              </w:rPr>
            </w:pPr>
          </w:p>
        </w:tc>
        <w:tc>
          <w:tcPr>
            <w:tcW w:w="119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23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2718" w:type="dxa"/>
            <w:vMerge w:val="continue"/>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277" w:type="dxa"/>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18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p>
        </w:tc>
        <w:tc>
          <w:tcPr>
            <w:tcW w:w="175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19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23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2718" w:type="dxa"/>
            <w:vMerge w:val="continue"/>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277" w:type="dxa"/>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18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color w:val="000000"/>
                <w:sz w:val="24"/>
                <w:szCs w:val="24"/>
                <w:highlight w:val="none"/>
              </w:rPr>
            </w:pPr>
          </w:p>
        </w:tc>
        <w:tc>
          <w:tcPr>
            <w:tcW w:w="175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19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23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2718" w:type="dxa"/>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277" w:type="dxa"/>
            <w:tcBorders>
              <w:left w:val="single" w:color="auto" w:sz="4" w:space="0"/>
              <w:right w:val="single" w:color="auto" w:sz="4" w:space="0"/>
            </w:tcBorders>
            <w:vAlign w:val="center"/>
          </w:tcPr>
          <w:p>
            <w:pPr>
              <w:pageBreakBefore w:val="0"/>
              <w:widowControl/>
              <w:kinsoku/>
              <w:overflowPunct/>
              <w:topLinePunct w:val="0"/>
              <w:autoSpaceDE/>
              <w:autoSpaceDN/>
              <w:bidi w:val="0"/>
              <w:adjustRightInd/>
              <w:spacing w:beforeAutospacing="0" w:afterAutospacing="0" w:line="360" w:lineRule="auto"/>
              <w:jc w:val="left"/>
              <w:textAlignment w:val="auto"/>
              <w:outlineLvl w:val="9"/>
              <w:rPr>
                <w:rFonts w:hint="eastAsia" w:ascii="宋体" w:hAnsi="宋体" w:eastAsia="宋体" w:cs="宋体"/>
                <w:color w:val="000000"/>
                <w:sz w:val="24"/>
                <w:szCs w:val="24"/>
                <w:highlight w:val="none"/>
              </w:rPr>
            </w:pPr>
          </w:p>
        </w:tc>
        <w:tc>
          <w:tcPr>
            <w:tcW w:w="118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pacing w:val="-14"/>
                <w:sz w:val="24"/>
                <w:szCs w:val="24"/>
                <w:highlight w:val="none"/>
              </w:rPr>
            </w:pPr>
            <w:r>
              <w:rPr>
                <w:rFonts w:hint="eastAsia" w:ascii="宋体" w:hAnsi="宋体" w:eastAsia="宋体" w:cs="宋体"/>
                <w:color w:val="000000"/>
                <w:spacing w:val="-14"/>
                <w:sz w:val="24"/>
                <w:szCs w:val="24"/>
                <w:highlight w:val="none"/>
              </w:rPr>
              <w:t>……</w:t>
            </w:r>
          </w:p>
        </w:tc>
        <w:tc>
          <w:tcPr>
            <w:tcW w:w="175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19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c>
          <w:tcPr>
            <w:tcW w:w="1231" w:type="dxa"/>
            <w:tcBorders>
              <w:top w:val="single" w:color="auto" w:sz="4" w:space="0"/>
              <w:left w:val="single" w:color="auto" w:sz="4" w:space="0"/>
              <w:bottom w:val="single" w:color="auto" w:sz="4" w:space="0"/>
              <w:right w:val="single" w:color="auto" w:sz="4" w:space="0"/>
            </w:tcBorders>
            <w:vAlign w:val="top"/>
          </w:tcPr>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tc>
      </w:tr>
    </w:tbl>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w:t>
      </w:r>
    </w:p>
    <w:p>
      <w:pPr>
        <w:pageBreakBefore w:val="0"/>
        <w:kinsoku/>
        <w:overflowPunct/>
        <w:topLinePunct w:val="0"/>
        <w:autoSpaceDE/>
        <w:autoSpaceDN/>
        <w:bidi w:val="0"/>
        <w:adjustRightInd/>
        <w:spacing w:beforeAutospacing="0" w:afterAutospacing="0" w:line="360" w:lineRule="auto"/>
        <w:ind w:firstLine="482" w:firstLineChars="200"/>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1、为使评标专家准确理解及保证评标工作顺利进行，请投标公司针对招标文件的要求，结合投标产品的实际逐条进行相对应的应答，否则按无效标处理。</w:t>
      </w:r>
    </w:p>
    <w:p>
      <w:pPr>
        <w:pageBreakBefore w:val="0"/>
        <w:kinsoku/>
        <w:overflowPunct/>
        <w:topLinePunct w:val="0"/>
        <w:autoSpaceDE/>
        <w:autoSpaceDN/>
        <w:bidi w:val="0"/>
        <w:adjustRightInd/>
        <w:spacing w:beforeAutospacing="0" w:afterAutospacing="0" w:line="360" w:lineRule="auto"/>
        <w:ind w:firstLine="482" w:firstLineChars="200"/>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2、偏离说明中填写“正偏离”、“负偏离”及“无偏离”，不得在“投标响应”栏中仅出现“响应”字样，未按要求填写者按无效标处理。</w:t>
      </w:r>
    </w:p>
    <w:p>
      <w:pPr>
        <w:pageBreakBefore w:val="0"/>
        <w:kinsoku/>
        <w:overflowPunct/>
        <w:topLinePunct w:val="0"/>
        <w:autoSpaceDE/>
        <w:autoSpaceDN/>
        <w:bidi w:val="0"/>
        <w:adjustRightInd/>
        <w:spacing w:beforeAutospacing="0" w:afterAutospacing="0" w:line="360" w:lineRule="auto"/>
        <w:ind w:firstLine="482" w:firstLineChars="200"/>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3、投标人提交的投标响应情况与招标文件的“第三章 三、商务要求”须逐条对应列在偏离表中。若无详细商务偏离表则视为没有实质性响应招标文件要求）（投标人制表时应删除此段话）</w:t>
      </w:r>
    </w:p>
    <w:p>
      <w:pPr>
        <w:pStyle w:val="38"/>
        <w:pageBreakBefore w:val="0"/>
        <w:kinsoku/>
        <w:overflowPunct/>
        <w:bidi w:val="0"/>
        <w:spacing w:line="360" w:lineRule="auto"/>
        <w:outlineLvl w:val="9"/>
        <w:rPr>
          <w:rFonts w:hint="eastAsia"/>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投标人代表签字： </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投标人（全称并加盖公章）：</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sectPr>
          <w:headerReference r:id="rId11" w:type="default"/>
          <w:type w:val="continuous"/>
          <w:pgSz w:w="11905" w:h="16838"/>
          <w:pgMar w:top="1417" w:right="1417" w:bottom="964" w:left="1474" w:header="794" w:footer="737" w:gutter="0"/>
          <w:pgNumType w:fmt="decimal"/>
          <w:cols w:space="0" w:num="1"/>
          <w:rtlGutter w:val="0"/>
          <w:docGrid w:linePitch="323" w:charSpace="0"/>
        </w:sectPr>
      </w:pPr>
      <w:r>
        <w:rPr>
          <w:rFonts w:hint="eastAsia" w:ascii="宋体" w:hAnsi="宋体" w:eastAsia="宋体" w:cs="宋体"/>
          <w:color w:val="000000"/>
          <w:sz w:val="24"/>
          <w:szCs w:val="24"/>
          <w:highlight w:val="none"/>
        </w:rPr>
        <w:t xml:space="preserve">日  期：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年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月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24"/>
          <w:szCs w:val="24"/>
          <w:highlight w:val="none"/>
        </w:rPr>
      </w:pPr>
    </w:p>
    <w:p>
      <w:pPr>
        <w:pStyle w:val="38"/>
        <w:pageBreakBefore w:val="0"/>
        <w:kinsoku/>
        <w:overflowPunct/>
        <w:bidi w:val="0"/>
        <w:spacing w:line="360" w:lineRule="auto"/>
        <w:outlineLvl w:val="9"/>
        <w:rPr>
          <w:rFonts w:hint="eastAsia" w:ascii="宋体" w:hAnsi="宋体" w:eastAsia="宋体" w:cs="宋体"/>
          <w:b/>
          <w:color w:val="000000"/>
          <w:sz w:val="24"/>
          <w:szCs w:val="24"/>
          <w:highlight w:val="none"/>
        </w:rPr>
      </w:pPr>
    </w:p>
    <w:p>
      <w:pPr>
        <w:pageBreakBefore w:val="0"/>
        <w:kinsoku/>
        <w:overflowPunct/>
        <w:bidi w:val="0"/>
        <w:spacing w:line="360" w:lineRule="auto"/>
        <w:outlineLvl w:val="9"/>
        <w:rPr>
          <w:rFonts w:hint="eastAsia" w:ascii="宋体" w:hAnsi="宋体" w:eastAsia="宋体" w:cs="宋体"/>
          <w:b/>
          <w:color w:val="000000"/>
          <w:sz w:val="24"/>
          <w:szCs w:val="24"/>
          <w:highlight w:val="none"/>
        </w:rPr>
      </w:pPr>
    </w:p>
    <w:p>
      <w:pPr>
        <w:pStyle w:val="38"/>
        <w:pageBreakBefore w:val="0"/>
        <w:kinsoku/>
        <w:overflowPunct/>
        <w:bidi w:val="0"/>
        <w:spacing w:line="360" w:lineRule="auto"/>
        <w:outlineLvl w:val="9"/>
        <w:rPr>
          <w:rFonts w:hint="eastAsia" w:ascii="宋体" w:hAnsi="宋体" w:eastAsia="宋体" w:cs="宋体"/>
          <w:b/>
          <w:color w:val="000000"/>
          <w:sz w:val="24"/>
          <w:szCs w:val="24"/>
          <w:highlight w:val="none"/>
        </w:rPr>
      </w:pPr>
    </w:p>
    <w:p>
      <w:pPr>
        <w:pageBreakBefore w:val="0"/>
        <w:kinsoku/>
        <w:overflowPunct/>
        <w:bidi w:val="0"/>
        <w:spacing w:line="360" w:lineRule="auto"/>
        <w:outlineLvl w:val="9"/>
        <w:rPr>
          <w:rFonts w:hint="eastAsia" w:ascii="宋体" w:hAnsi="宋体" w:eastAsia="宋体" w:cs="宋体"/>
          <w:b/>
          <w:color w:val="000000"/>
          <w:sz w:val="24"/>
          <w:szCs w:val="24"/>
          <w:highlight w:val="none"/>
        </w:rPr>
      </w:pPr>
    </w:p>
    <w:p>
      <w:pPr>
        <w:pStyle w:val="38"/>
        <w:pageBreakBefore w:val="0"/>
        <w:kinsoku/>
        <w:overflowPunct/>
        <w:bidi w:val="0"/>
        <w:spacing w:line="360" w:lineRule="auto"/>
        <w:outlineLvl w:val="9"/>
        <w:rPr>
          <w:rFonts w:hint="eastAsia" w:ascii="宋体" w:hAnsi="宋体" w:eastAsia="宋体" w:cs="宋体"/>
          <w:b/>
          <w:color w:val="000000"/>
          <w:sz w:val="24"/>
          <w:szCs w:val="24"/>
          <w:highlight w:val="none"/>
        </w:rPr>
      </w:pPr>
    </w:p>
    <w:p>
      <w:pPr>
        <w:pStyle w:val="38"/>
        <w:pageBreakBefore w:val="0"/>
        <w:kinsoku/>
        <w:overflowPunct/>
        <w:bidi w:val="0"/>
        <w:spacing w:line="360" w:lineRule="auto"/>
        <w:outlineLvl w:val="9"/>
        <w:rPr>
          <w:rFonts w:hint="eastAsia"/>
          <w:highlight w:val="none"/>
        </w:rPr>
        <w:sectPr>
          <w:headerReference r:id="rId12" w:type="default"/>
          <w:type w:val="continuous"/>
          <w:pgSz w:w="11905" w:h="16838"/>
          <w:pgMar w:top="1417" w:right="1417" w:bottom="964" w:left="1474" w:header="794" w:footer="737" w:gutter="0"/>
          <w:pgNumType w:fmt="decimal"/>
          <w:cols w:space="0" w:num="1"/>
          <w:rtlGutter w:val="0"/>
          <w:docGrid w:linePitch="323" w:charSpace="-2"/>
        </w:sectPr>
      </w:pPr>
    </w:p>
    <w:p>
      <w:pPr>
        <w:pageBreakBefore w:val="0"/>
        <w:tabs>
          <w:tab w:val="left" w:pos="900"/>
        </w:tabs>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color w:val="000000"/>
          <w:sz w:val="30"/>
          <w:szCs w:val="30"/>
          <w:highlight w:val="none"/>
        </w:rPr>
      </w:pPr>
      <w:r>
        <w:rPr>
          <w:rFonts w:hint="eastAsia" w:ascii="宋体" w:hAnsi="宋体" w:cs="宋体"/>
          <w:b/>
          <w:color w:val="000000"/>
          <w:sz w:val="30"/>
          <w:szCs w:val="30"/>
          <w:highlight w:val="none"/>
          <w:lang w:eastAsia="zh-CN"/>
        </w:rPr>
        <w:t>三</w:t>
      </w:r>
      <w:r>
        <w:rPr>
          <w:rFonts w:hint="eastAsia" w:ascii="宋体" w:hAnsi="宋体" w:eastAsia="宋体" w:cs="宋体"/>
          <w:b/>
          <w:color w:val="000000"/>
          <w:sz w:val="30"/>
          <w:szCs w:val="30"/>
          <w:highlight w:val="none"/>
        </w:rPr>
        <w:t>、质量保证及售后服务承诺书</w:t>
      </w:r>
    </w:p>
    <w:p>
      <w:pPr>
        <w:pageBreakBefore w:val="0"/>
        <w:tabs>
          <w:tab w:val="left" w:pos="900"/>
        </w:tabs>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tabs>
          <w:tab w:val="left" w:pos="900"/>
        </w:tabs>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tabs>
          <w:tab w:val="left" w:pos="900"/>
        </w:tabs>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注：投标人根据招标文件中的要求，并结合自身实际情况加以承诺，自行编制。</w:t>
      </w:r>
    </w:p>
    <w:p>
      <w:pPr>
        <w:pageBreakBefore w:val="0"/>
        <w:tabs>
          <w:tab w:val="left" w:pos="900"/>
        </w:tabs>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tabs>
          <w:tab w:val="left" w:pos="900"/>
        </w:tabs>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投标人代表签字： </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投标人（全称并加盖公章）：</w:t>
      </w:r>
      <w:r>
        <w:rPr>
          <w:rFonts w:hint="eastAsia" w:ascii="宋体" w:hAnsi="宋体" w:eastAsia="宋体" w:cs="宋体"/>
          <w:color w:val="000000"/>
          <w:sz w:val="24"/>
          <w:szCs w:val="24"/>
          <w:highlight w:val="none"/>
          <w:u w:val="single"/>
        </w:rPr>
        <w:t xml:space="preserve">                       </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日  期：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年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月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p>
    <w:p>
      <w:pPr>
        <w:keepNext w:val="0"/>
        <w:keepLines w:val="0"/>
        <w:pageBreakBefore w:val="0"/>
        <w:kinsoku/>
        <w:overflowPunct/>
        <w:autoSpaceDE/>
        <w:autoSpaceDN/>
        <w:bidi w:val="0"/>
        <w:spacing w:line="360" w:lineRule="auto"/>
        <w:ind w:firstLine="480" w:firstLineChars="200"/>
        <w:textAlignment w:val="auto"/>
        <w:outlineLvl w:val="9"/>
        <w:rPr>
          <w:rFonts w:hint="eastAsia" w:ascii="宋体" w:hAnsi="宋体" w:eastAsia="宋体" w:cs="宋体"/>
          <w:color w:val="000000"/>
          <w:sz w:val="24"/>
          <w:szCs w:val="24"/>
          <w:highlight w:val="none"/>
        </w:rPr>
        <w:sectPr>
          <w:headerReference r:id="rId13" w:type="default"/>
          <w:type w:val="continuous"/>
          <w:pgSz w:w="11905" w:h="16838"/>
          <w:pgMar w:top="1417" w:right="1417" w:bottom="964" w:left="1474" w:header="794" w:footer="737" w:gutter="0"/>
          <w:pgNumType w:fmt="decimal"/>
          <w:cols w:space="0" w:num="1"/>
          <w:rtlGutter w:val="0"/>
          <w:docGrid w:linePitch="323" w:charSpace="0"/>
        </w:sectPr>
      </w:pPr>
      <w:r>
        <w:rPr>
          <w:rFonts w:hint="eastAsia" w:ascii="宋体" w:hAnsi="宋体" w:eastAsia="宋体" w:cs="宋体"/>
          <w:color w:val="000000"/>
          <w:sz w:val="24"/>
          <w:szCs w:val="24"/>
          <w:highlight w:val="none"/>
        </w:rPr>
        <w:br w:type="page"/>
      </w: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24"/>
          <w:szCs w:val="24"/>
          <w:highlight w:val="none"/>
        </w:rPr>
      </w:pPr>
    </w:p>
    <w:p>
      <w:pPr>
        <w:pageBreakBefore w:val="0"/>
        <w:kinsoku/>
        <w:overflowPunct/>
        <w:topLinePunct w:val="0"/>
        <w:autoSpaceDE/>
        <w:autoSpaceDN/>
        <w:bidi w:val="0"/>
        <w:adjustRightInd/>
        <w:spacing w:beforeAutospacing="0" w:afterAutospacing="0" w:line="360" w:lineRule="auto"/>
        <w:jc w:val="center"/>
        <w:textAlignment w:val="auto"/>
        <w:outlineLvl w:val="9"/>
        <w:rPr>
          <w:rFonts w:hint="eastAsia" w:ascii="宋体" w:hAnsi="宋体" w:eastAsia="宋体" w:cs="宋体"/>
          <w:b/>
          <w:bCs/>
          <w:color w:val="000000"/>
          <w:sz w:val="30"/>
          <w:szCs w:val="30"/>
          <w:highlight w:val="none"/>
        </w:rPr>
      </w:pPr>
      <w:r>
        <w:rPr>
          <w:rFonts w:hint="eastAsia" w:ascii="宋体" w:hAnsi="宋体" w:cs="宋体"/>
          <w:b/>
          <w:bCs/>
          <w:color w:val="000000"/>
          <w:sz w:val="30"/>
          <w:szCs w:val="30"/>
          <w:highlight w:val="none"/>
          <w:lang w:eastAsia="zh-CN"/>
        </w:rPr>
        <w:t>四</w:t>
      </w:r>
      <w:r>
        <w:rPr>
          <w:rFonts w:hint="eastAsia" w:ascii="宋体" w:hAnsi="宋体" w:eastAsia="宋体" w:cs="宋体"/>
          <w:b/>
          <w:bCs/>
          <w:color w:val="000000"/>
          <w:sz w:val="30"/>
          <w:szCs w:val="30"/>
          <w:highlight w:val="none"/>
        </w:rPr>
        <w:t>、投标人提交的其他资料（若有）</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p>
    <w:p>
      <w:pPr>
        <w:pageBreakBefore w:val="0"/>
        <w:kinsoku/>
        <w:overflowPunct/>
        <w:topLinePunct w:val="0"/>
        <w:autoSpaceDE/>
        <w:autoSpaceDN/>
        <w:bidi w:val="0"/>
        <w:adjustRightInd/>
        <w:spacing w:beforeAutospacing="0" w:afterAutospacing="0" w:line="360" w:lineRule="auto"/>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投标人认为应提交的其他材料，可在此附件中提交。</w:t>
      </w:r>
    </w:p>
    <w:p>
      <w:pPr>
        <w:pageBreakBefore w:val="0"/>
        <w:kinsoku/>
        <w:overflowPunct/>
        <w:topLinePunct w:val="0"/>
        <w:autoSpaceDE/>
        <w:autoSpaceDN/>
        <w:bidi w:val="0"/>
        <w:adjustRightInd/>
        <w:spacing w:beforeAutospacing="0" w:afterAutospacing="0" w:line="360" w:lineRule="auto"/>
        <w:ind w:firstLine="480"/>
        <w:textAlignment w:val="auto"/>
        <w:outlineLvl w:val="9"/>
        <w:rPr>
          <w:rFonts w:hint="eastAsia" w:ascii="宋体" w:hAnsi="宋体" w:eastAsia="宋体" w:cs="宋体"/>
          <w:color w:val="000000"/>
          <w:sz w:val="24"/>
          <w:szCs w:val="24"/>
          <w:highlight w:val="none"/>
        </w:rPr>
      </w:pPr>
    </w:p>
    <w:p>
      <w:pPr>
        <w:pStyle w:val="38"/>
        <w:pageBreakBefore w:val="0"/>
        <w:kinsoku/>
        <w:overflowPunct/>
        <w:bidi w:val="0"/>
        <w:spacing w:line="360" w:lineRule="auto"/>
        <w:outlineLvl w:val="9"/>
        <w:rPr>
          <w:rFonts w:hint="eastAsia"/>
          <w:highlight w:val="none"/>
        </w:rPr>
      </w:pPr>
    </w:p>
    <w:p>
      <w:pPr>
        <w:pageBreakBefore w:val="0"/>
        <w:tabs>
          <w:tab w:val="left" w:pos="900"/>
        </w:tabs>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投标人名称（全称并加盖公章）：</w:t>
      </w:r>
      <w:r>
        <w:rPr>
          <w:rFonts w:hint="eastAsia" w:ascii="宋体" w:hAnsi="宋体" w:eastAsia="宋体" w:cs="宋体"/>
          <w:color w:val="000000"/>
          <w:sz w:val="24"/>
          <w:szCs w:val="24"/>
          <w:highlight w:val="none"/>
          <w:u w:val="single"/>
        </w:rPr>
        <w:t xml:space="preserve">                        </w:t>
      </w:r>
    </w:p>
    <w:p>
      <w:pPr>
        <w:pageBreakBefore w:val="0"/>
        <w:tabs>
          <w:tab w:val="left" w:pos="900"/>
        </w:tabs>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投标人代表（签字）：</w:t>
      </w:r>
      <w:r>
        <w:rPr>
          <w:rFonts w:hint="eastAsia" w:ascii="宋体" w:hAnsi="宋体" w:eastAsia="宋体" w:cs="宋体"/>
          <w:color w:val="000000"/>
          <w:sz w:val="24"/>
          <w:szCs w:val="24"/>
          <w:highlight w:val="none"/>
          <w:u w:val="single"/>
        </w:rPr>
        <w:t xml:space="preserve">                                  </w:t>
      </w:r>
    </w:p>
    <w:p>
      <w:pPr>
        <w:pageBreakBefore w:val="0"/>
        <w:tabs>
          <w:tab w:val="left" w:pos="900"/>
        </w:tabs>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日             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b/>
          <w:color w:val="000000"/>
          <w:sz w:val="24"/>
          <w:szCs w:val="24"/>
          <w:highlight w:val="none"/>
        </w:rPr>
      </w:pPr>
    </w:p>
    <w:p>
      <w:pPr>
        <w:pageBreakBefore w:val="0"/>
        <w:kinsoku/>
        <w:overflowPunct/>
        <w:topLinePunct w:val="0"/>
        <w:autoSpaceDE/>
        <w:autoSpaceDN/>
        <w:bidi w:val="0"/>
        <w:adjustRightInd/>
        <w:spacing w:beforeAutospacing="0" w:afterAutospacing="0" w:line="360" w:lineRule="auto"/>
        <w:textAlignment w:val="auto"/>
        <w:outlineLvl w:val="9"/>
        <w:rPr>
          <w:rFonts w:hint="eastAsia" w:ascii="宋体" w:hAnsi="宋体" w:eastAsia="宋体" w:cs="宋体"/>
          <w:sz w:val="24"/>
          <w:szCs w:val="24"/>
          <w:highlight w:val="none"/>
        </w:rPr>
      </w:pPr>
    </w:p>
    <w:p>
      <w:pPr>
        <w:keepNext w:val="0"/>
        <w:keepLines w:val="0"/>
        <w:pageBreakBefore w:val="0"/>
        <w:kinsoku/>
        <w:overflowPunct/>
        <w:autoSpaceDE/>
        <w:autoSpaceDN/>
        <w:bidi w:val="0"/>
        <w:spacing w:line="360" w:lineRule="auto"/>
        <w:ind w:firstLine="2650" w:firstLineChars="1100"/>
        <w:textAlignment w:val="auto"/>
        <w:outlineLvl w:val="9"/>
        <w:rPr>
          <w:rFonts w:hint="eastAsia" w:ascii="宋体" w:hAnsi="宋体" w:eastAsia="宋体" w:cs="宋体"/>
          <w:b/>
          <w:bCs/>
          <w:color w:val="auto"/>
          <w:sz w:val="24"/>
          <w:highlight w:val="none"/>
          <w:u w:val="single"/>
          <w:lang w:val="en-US" w:eastAsia="zh-CN"/>
        </w:rPr>
      </w:pPr>
    </w:p>
    <w:sectPr>
      <w:footerReference r:id="rId15" w:type="first"/>
      <w:footerReference r:id="rId14" w:type="default"/>
      <w:pgSz w:w="11905" w:h="16838"/>
      <w:pgMar w:top="1417" w:right="1417" w:bottom="964" w:left="1474" w:header="794" w:footer="737"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altName w:val="Times New Roman"/>
    <w:panose1 w:val="00000000000000000000"/>
    <w:charset w:val="00"/>
    <w:family w:val="roman"/>
    <w:pitch w:val="default"/>
    <w:sig w:usb0="00000000" w:usb1="00000000" w:usb2="00000000" w:usb3="00000000" w:csb0="00000001" w:csb1="00000000"/>
  </w:font>
  <w:font w:name="Arial Black">
    <w:panose1 w:val="020B0A04020102020204"/>
    <w:charset w:val="00"/>
    <w:family w:val="swiss"/>
    <w:pitch w:val="default"/>
    <w:sig w:usb0="00000287" w:usb1="00000000" w:usb2="00000000" w:usb3="00000000" w:csb0="2000009F" w:csb1="DFD70000"/>
  </w:font>
  <w:font w:name="Arial Narrow">
    <w:altName w:val="Arial"/>
    <w:panose1 w:val="020B0606020202030204"/>
    <w:charset w:val="00"/>
    <w:family w:val="swiss"/>
    <w:pitch w:val="default"/>
    <w:sig w:usb0="00000000"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HYg2gj">
    <w:altName w:val="MS Gothic"/>
    <w:panose1 w:val="00000000000000000000"/>
    <w:charset w:val="80"/>
    <w:family w:val="auto"/>
    <w:pitch w:val="default"/>
    <w:sig w:usb0="00000000" w:usb1="00000000" w:usb2="00000010" w:usb3="00000000" w:csb0="00060000" w:csb1="00000000"/>
  </w:font>
  <w:font w:name="Dotum">
    <w:panose1 w:val="020B0600000101010101"/>
    <w:charset w:val="81"/>
    <w:family w:val="swiss"/>
    <w:pitch w:val="default"/>
    <w:sig w:usb0="B00002AF" w:usb1="69D77CFB" w:usb2="00000030" w:usb3="00000000" w:csb0="4008009F" w:csb1="DFD7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4"/>
      </w:rPr>
    </w:pPr>
    <w:r>
      <w:fldChar w:fldCharType="begin"/>
    </w:r>
    <w:r>
      <w:rPr>
        <w:rStyle w:val="44"/>
      </w:rPr>
      <w:instrText xml:space="preserve">PAGE  </w:instrText>
    </w:r>
    <w:r>
      <w:fldChar w:fldCharType="separate"/>
    </w:r>
    <w:r>
      <w:rPr>
        <w:rStyle w:val="44"/>
      </w:rPr>
      <w:t>30</w:t>
    </w:r>
    <w:r>
      <w:fldChar w:fldCharType="end"/>
    </w:r>
  </w:p>
  <w:p>
    <w:pPr>
      <w:pStyle w:val="2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jc w:val="right"/>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W8wmPsQEA&#10;AE4DAAAOAAAAAAAAAAEAIAAAAB4BAABkcnMvZTJvRG9jLnhtbFBLBQYAAAAABgAGAFkBAABBBQAA&#10;AAA=&#10;">
              <v:fill on="f" focussize="0,0"/>
              <v:stroke on="f"/>
              <v:imagedata o:title=""/>
              <o:lock v:ext="edit" aspectratio="f"/>
              <v:textbox inset="0mm,0mm,0mm,0mm" style="mso-fit-shape-to-text:t;">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fMWcUsQEA&#10;AE4DAAAOAAAAAAAAAAEAIAAAAB4BAABkcnMvZTJvRG9jLnhtbFBLBQYAAAAABgAGAFkBAABBBQAA&#10;AAA=&#10;">
              <v:fill on="f" focussize="0,0"/>
              <v:stroke on="f"/>
              <v:imagedata o:title=""/>
              <o:lock v:ext="edit" aspectratio="f"/>
              <v:textbox inset="0mm,0mm,0mm,0mm" style="mso-fit-shape-to-text:t;">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Inj1Y+wAQAA&#10;TgMAAA4AAAAAAAAAAQAgAAAAHgEAAGRycy9lMm9Eb2MueG1sUEsFBgAAAAAGAAYAWQEAAEAFAAAA&#10;AA==&#10;">
              <v:fill on="f" focussize="0,0"/>
              <v:stroke on="f"/>
              <v:imagedata o:title=""/>
              <o:lock v:ext="edit" aspectratio="f"/>
              <v:textbox inset="0mm,0mm,0mm,0mm" style="mso-fit-shape-to-text:t;">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1D74FF"/>
    <w:multiLevelType w:val="singleLevel"/>
    <w:tmpl w:val="AE1D74FF"/>
    <w:lvl w:ilvl="0" w:tentative="0">
      <w:start w:val="1"/>
      <w:numFmt w:val="chineseCounting"/>
      <w:suff w:val="nothing"/>
      <w:lvlText w:val="%1、"/>
      <w:lvlJc w:val="left"/>
      <w:rPr>
        <w:rFonts w:hint="eastAsia"/>
      </w:rPr>
    </w:lvl>
  </w:abstractNum>
  <w:abstractNum w:abstractNumId="1">
    <w:nsid w:val="F1FA0FED"/>
    <w:multiLevelType w:val="singleLevel"/>
    <w:tmpl w:val="F1FA0FED"/>
    <w:lvl w:ilvl="0" w:tentative="0">
      <w:start w:val="1"/>
      <w:numFmt w:val="decimal"/>
      <w:lvlText w:val="%1."/>
      <w:lvlJc w:val="left"/>
      <w:pPr>
        <w:tabs>
          <w:tab w:val="left" w:pos="312"/>
        </w:tabs>
      </w:pPr>
    </w:lvl>
  </w:abstractNum>
  <w:abstractNum w:abstractNumId="2">
    <w:nsid w:val="138B1347"/>
    <w:multiLevelType w:val="singleLevel"/>
    <w:tmpl w:val="138B1347"/>
    <w:lvl w:ilvl="0" w:tentative="0">
      <w:start w:val="1"/>
      <w:numFmt w:val="decimal"/>
      <w:suff w:val="nothing"/>
      <w:lvlText w:val="%1、"/>
      <w:lvlJc w:val="left"/>
    </w:lvl>
  </w:abstractNum>
  <w:abstractNum w:abstractNumId="3">
    <w:nsid w:val="17141AB3"/>
    <w:multiLevelType w:val="multilevel"/>
    <w:tmpl w:val="17141AB3"/>
    <w:lvl w:ilvl="0" w:tentative="0">
      <w:start w:val="3"/>
      <w:numFmt w:val="japaneseCounting"/>
      <w:lvlText w:val="第%1章"/>
      <w:lvlJc w:val="left"/>
      <w:pPr>
        <w:tabs>
          <w:tab w:val="left" w:pos="2025"/>
        </w:tabs>
        <w:ind w:left="2025" w:hanging="1455"/>
      </w:pPr>
      <w:rPr>
        <w:rFonts w:hint="default"/>
      </w:rPr>
    </w:lvl>
    <w:lvl w:ilvl="1" w:tentative="0">
      <w:start w:val="1"/>
      <w:numFmt w:val="lowerLetter"/>
      <w:lvlText w:val="%2)"/>
      <w:lvlJc w:val="left"/>
      <w:pPr>
        <w:tabs>
          <w:tab w:val="left" w:pos="1410"/>
        </w:tabs>
        <w:ind w:left="1410" w:hanging="420"/>
      </w:p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abstractNum w:abstractNumId="4">
    <w:nsid w:val="5A27D9E8"/>
    <w:multiLevelType w:val="singleLevel"/>
    <w:tmpl w:val="5A27D9E8"/>
    <w:lvl w:ilvl="0" w:tentative="0">
      <w:start w:val="2"/>
      <w:numFmt w:val="chineseCounting"/>
      <w:suff w:val="nothing"/>
      <w:lvlText w:val="%1、"/>
      <w:lvlJc w:val="left"/>
    </w:lvl>
  </w:abstractNum>
  <w:abstractNum w:abstractNumId="5">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229"/>
      <w:suff w:val="nothing"/>
      <w:lvlText w:val="%1%2.%3　"/>
      <w:lvlJc w:val="left"/>
      <w:pPr>
        <w:ind w:left="425" w:firstLine="0"/>
      </w:pPr>
      <w:rPr>
        <w:rFonts w:hint="eastAsia" w:ascii="黑体" w:hAnsi="Times New Roman" w:eastAsia="黑体"/>
        <w:b w:val="0"/>
        <w:i w:val="0"/>
        <w:sz w:val="21"/>
      </w:rPr>
    </w:lvl>
    <w:lvl w:ilvl="3" w:tentative="0">
      <w:start w:val="1"/>
      <w:numFmt w:val="decimal"/>
      <w:pStyle w:val="228"/>
      <w:suff w:val="nothing"/>
      <w:lvlText w:val="%1%2.%3.%4　"/>
      <w:lvlJc w:val="left"/>
      <w:pPr>
        <w:ind w:left="426"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721F68E5"/>
    <w:multiLevelType w:val="singleLevel"/>
    <w:tmpl w:val="721F68E5"/>
    <w:lvl w:ilvl="0" w:tentative="0">
      <w:start w:val="1"/>
      <w:numFmt w:val="chineseCounting"/>
      <w:suff w:val="nothing"/>
      <w:lvlText w:val="%1、"/>
      <w:lvlJc w:val="left"/>
      <w:rPr>
        <w:rFonts w:hint="eastAsia"/>
      </w:rPr>
    </w:lvl>
  </w:abstractNum>
  <w:abstractNum w:abstractNumId="7">
    <w:nsid w:val="76933334"/>
    <w:multiLevelType w:val="multilevel"/>
    <w:tmpl w:val="76933334"/>
    <w:lvl w:ilvl="0" w:tentative="0">
      <w:start w:val="1"/>
      <w:numFmt w:val="none"/>
      <w:pStyle w:val="227"/>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7"/>
  </w:num>
  <w:num w:numId="2">
    <w:abstractNumId w:val="5"/>
  </w:num>
  <w:num w:numId="3">
    <w:abstractNumId w:val="3"/>
  </w:num>
  <w:num w:numId="4">
    <w:abstractNumId w:val="6"/>
  </w:num>
  <w:num w:numId="5">
    <w:abstractNumId w:val="2"/>
  </w:num>
  <w:num w:numId="6">
    <w:abstractNumId w:val="1"/>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791"/>
    <w:rsid w:val="0000376C"/>
    <w:rsid w:val="00003B61"/>
    <w:rsid w:val="00003EAD"/>
    <w:rsid w:val="00004004"/>
    <w:rsid w:val="000045F2"/>
    <w:rsid w:val="0000580F"/>
    <w:rsid w:val="00006460"/>
    <w:rsid w:val="00006830"/>
    <w:rsid w:val="00007C1D"/>
    <w:rsid w:val="000108D4"/>
    <w:rsid w:val="00010F18"/>
    <w:rsid w:val="00012F5E"/>
    <w:rsid w:val="0001366F"/>
    <w:rsid w:val="0001368B"/>
    <w:rsid w:val="00014B7B"/>
    <w:rsid w:val="00016128"/>
    <w:rsid w:val="00016186"/>
    <w:rsid w:val="000161A7"/>
    <w:rsid w:val="000169A3"/>
    <w:rsid w:val="00017154"/>
    <w:rsid w:val="000178D3"/>
    <w:rsid w:val="00020256"/>
    <w:rsid w:val="0002224F"/>
    <w:rsid w:val="00023E8B"/>
    <w:rsid w:val="00024451"/>
    <w:rsid w:val="000258CC"/>
    <w:rsid w:val="00026248"/>
    <w:rsid w:val="00027CA5"/>
    <w:rsid w:val="000302D0"/>
    <w:rsid w:val="0003077A"/>
    <w:rsid w:val="000307EE"/>
    <w:rsid w:val="00030A85"/>
    <w:rsid w:val="00030B1E"/>
    <w:rsid w:val="00030EB2"/>
    <w:rsid w:val="00031B9D"/>
    <w:rsid w:val="00032B8E"/>
    <w:rsid w:val="00033EA6"/>
    <w:rsid w:val="000345FD"/>
    <w:rsid w:val="00035909"/>
    <w:rsid w:val="00042A35"/>
    <w:rsid w:val="00042B25"/>
    <w:rsid w:val="00044EA1"/>
    <w:rsid w:val="0004575A"/>
    <w:rsid w:val="00045799"/>
    <w:rsid w:val="00046372"/>
    <w:rsid w:val="0004660A"/>
    <w:rsid w:val="00050BD4"/>
    <w:rsid w:val="0005134B"/>
    <w:rsid w:val="00051E34"/>
    <w:rsid w:val="000522AB"/>
    <w:rsid w:val="000546F0"/>
    <w:rsid w:val="00054726"/>
    <w:rsid w:val="00055CC5"/>
    <w:rsid w:val="00057670"/>
    <w:rsid w:val="0006056C"/>
    <w:rsid w:val="00060AFE"/>
    <w:rsid w:val="00060B0B"/>
    <w:rsid w:val="0006574C"/>
    <w:rsid w:val="00065876"/>
    <w:rsid w:val="00065FD9"/>
    <w:rsid w:val="0006675C"/>
    <w:rsid w:val="000670EF"/>
    <w:rsid w:val="00067305"/>
    <w:rsid w:val="00070619"/>
    <w:rsid w:val="00070A71"/>
    <w:rsid w:val="00070C9C"/>
    <w:rsid w:val="00071A40"/>
    <w:rsid w:val="00072493"/>
    <w:rsid w:val="00072514"/>
    <w:rsid w:val="00072B37"/>
    <w:rsid w:val="00072C3D"/>
    <w:rsid w:val="00073488"/>
    <w:rsid w:val="000738B0"/>
    <w:rsid w:val="00074A79"/>
    <w:rsid w:val="0007697E"/>
    <w:rsid w:val="00084314"/>
    <w:rsid w:val="000848E1"/>
    <w:rsid w:val="000850EE"/>
    <w:rsid w:val="00085F9B"/>
    <w:rsid w:val="00086608"/>
    <w:rsid w:val="0008666A"/>
    <w:rsid w:val="0009025F"/>
    <w:rsid w:val="000929F1"/>
    <w:rsid w:val="000932A8"/>
    <w:rsid w:val="000936C2"/>
    <w:rsid w:val="00093FAD"/>
    <w:rsid w:val="00094537"/>
    <w:rsid w:val="00094DB3"/>
    <w:rsid w:val="00095610"/>
    <w:rsid w:val="00095B92"/>
    <w:rsid w:val="00097043"/>
    <w:rsid w:val="000971A3"/>
    <w:rsid w:val="000971E8"/>
    <w:rsid w:val="000977CE"/>
    <w:rsid w:val="000979FF"/>
    <w:rsid w:val="000A0CDD"/>
    <w:rsid w:val="000A10D4"/>
    <w:rsid w:val="000A1D40"/>
    <w:rsid w:val="000A45B5"/>
    <w:rsid w:val="000A5A91"/>
    <w:rsid w:val="000A601D"/>
    <w:rsid w:val="000A720D"/>
    <w:rsid w:val="000B066D"/>
    <w:rsid w:val="000B13AF"/>
    <w:rsid w:val="000B158C"/>
    <w:rsid w:val="000B3578"/>
    <w:rsid w:val="000B3CC3"/>
    <w:rsid w:val="000B3DF3"/>
    <w:rsid w:val="000B62A2"/>
    <w:rsid w:val="000B7ACE"/>
    <w:rsid w:val="000C16C8"/>
    <w:rsid w:val="000C213B"/>
    <w:rsid w:val="000C3123"/>
    <w:rsid w:val="000C3245"/>
    <w:rsid w:val="000C3C3C"/>
    <w:rsid w:val="000C4D1C"/>
    <w:rsid w:val="000C5EDB"/>
    <w:rsid w:val="000C60AB"/>
    <w:rsid w:val="000C7AF0"/>
    <w:rsid w:val="000D0178"/>
    <w:rsid w:val="000D0191"/>
    <w:rsid w:val="000D06D4"/>
    <w:rsid w:val="000D0DFF"/>
    <w:rsid w:val="000D17ED"/>
    <w:rsid w:val="000D1956"/>
    <w:rsid w:val="000D2F39"/>
    <w:rsid w:val="000D3814"/>
    <w:rsid w:val="000D4FAE"/>
    <w:rsid w:val="000D6391"/>
    <w:rsid w:val="000D70AE"/>
    <w:rsid w:val="000D77D1"/>
    <w:rsid w:val="000D7EBA"/>
    <w:rsid w:val="000D7FCA"/>
    <w:rsid w:val="000E12E7"/>
    <w:rsid w:val="000E12FD"/>
    <w:rsid w:val="000E1A66"/>
    <w:rsid w:val="000E1AD0"/>
    <w:rsid w:val="000E1D80"/>
    <w:rsid w:val="000E27E3"/>
    <w:rsid w:val="000E2B38"/>
    <w:rsid w:val="000E3628"/>
    <w:rsid w:val="000E3C68"/>
    <w:rsid w:val="000E46C0"/>
    <w:rsid w:val="000E4796"/>
    <w:rsid w:val="000E7459"/>
    <w:rsid w:val="000E7A7B"/>
    <w:rsid w:val="000E7D3A"/>
    <w:rsid w:val="000E7E75"/>
    <w:rsid w:val="000F048A"/>
    <w:rsid w:val="000F2B34"/>
    <w:rsid w:val="000F2EFE"/>
    <w:rsid w:val="000F3BDF"/>
    <w:rsid w:val="000F41F4"/>
    <w:rsid w:val="000F4808"/>
    <w:rsid w:val="000F5B2F"/>
    <w:rsid w:val="000F6A53"/>
    <w:rsid w:val="000F7104"/>
    <w:rsid w:val="000F7508"/>
    <w:rsid w:val="000F7738"/>
    <w:rsid w:val="000F79CB"/>
    <w:rsid w:val="00101856"/>
    <w:rsid w:val="00102021"/>
    <w:rsid w:val="00103AE2"/>
    <w:rsid w:val="001068C7"/>
    <w:rsid w:val="001069D6"/>
    <w:rsid w:val="001071DF"/>
    <w:rsid w:val="0010774E"/>
    <w:rsid w:val="001078B2"/>
    <w:rsid w:val="00107B2E"/>
    <w:rsid w:val="00110120"/>
    <w:rsid w:val="001105C6"/>
    <w:rsid w:val="0011190C"/>
    <w:rsid w:val="0011211A"/>
    <w:rsid w:val="00112FC4"/>
    <w:rsid w:val="00113595"/>
    <w:rsid w:val="00113957"/>
    <w:rsid w:val="00113D3F"/>
    <w:rsid w:val="00113ED0"/>
    <w:rsid w:val="00113FD2"/>
    <w:rsid w:val="0011443D"/>
    <w:rsid w:val="00116C00"/>
    <w:rsid w:val="00122155"/>
    <w:rsid w:val="001230D5"/>
    <w:rsid w:val="00124D6C"/>
    <w:rsid w:val="00125665"/>
    <w:rsid w:val="00125683"/>
    <w:rsid w:val="00126BC4"/>
    <w:rsid w:val="0012795E"/>
    <w:rsid w:val="0013191D"/>
    <w:rsid w:val="001324F0"/>
    <w:rsid w:val="00133B06"/>
    <w:rsid w:val="00133FC5"/>
    <w:rsid w:val="00134817"/>
    <w:rsid w:val="00134CB6"/>
    <w:rsid w:val="00135772"/>
    <w:rsid w:val="001359B2"/>
    <w:rsid w:val="001363D4"/>
    <w:rsid w:val="001376B7"/>
    <w:rsid w:val="00137EF5"/>
    <w:rsid w:val="00141C0D"/>
    <w:rsid w:val="00141F6F"/>
    <w:rsid w:val="0014203D"/>
    <w:rsid w:val="00142239"/>
    <w:rsid w:val="0014224D"/>
    <w:rsid w:val="00142DFB"/>
    <w:rsid w:val="00143BF5"/>
    <w:rsid w:val="0014493F"/>
    <w:rsid w:val="00144A6A"/>
    <w:rsid w:val="00145EAE"/>
    <w:rsid w:val="00146C35"/>
    <w:rsid w:val="001518FB"/>
    <w:rsid w:val="00151D06"/>
    <w:rsid w:val="00151DE8"/>
    <w:rsid w:val="0015276F"/>
    <w:rsid w:val="00152CD4"/>
    <w:rsid w:val="001563A7"/>
    <w:rsid w:val="00156657"/>
    <w:rsid w:val="001566D6"/>
    <w:rsid w:val="00156D83"/>
    <w:rsid w:val="00157333"/>
    <w:rsid w:val="00160207"/>
    <w:rsid w:val="00160D5E"/>
    <w:rsid w:val="00160FB9"/>
    <w:rsid w:val="0016141F"/>
    <w:rsid w:val="00162ABD"/>
    <w:rsid w:val="00162F08"/>
    <w:rsid w:val="00163981"/>
    <w:rsid w:val="00163A22"/>
    <w:rsid w:val="00164242"/>
    <w:rsid w:val="00164338"/>
    <w:rsid w:val="00164E91"/>
    <w:rsid w:val="0016668B"/>
    <w:rsid w:val="00167A25"/>
    <w:rsid w:val="00167BE4"/>
    <w:rsid w:val="001701BE"/>
    <w:rsid w:val="001708EF"/>
    <w:rsid w:val="001710DC"/>
    <w:rsid w:val="001712FC"/>
    <w:rsid w:val="00171D3F"/>
    <w:rsid w:val="00172711"/>
    <w:rsid w:val="00173D59"/>
    <w:rsid w:val="00174607"/>
    <w:rsid w:val="00175120"/>
    <w:rsid w:val="00175BDF"/>
    <w:rsid w:val="0017615E"/>
    <w:rsid w:val="00176172"/>
    <w:rsid w:val="00176A8D"/>
    <w:rsid w:val="00177E11"/>
    <w:rsid w:val="00180E4B"/>
    <w:rsid w:val="00181FBC"/>
    <w:rsid w:val="0018370A"/>
    <w:rsid w:val="00183852"/>
    <w:rsid w:val="00184FDD"/>
    <w:rsid w:val="0018557B"/>
    <w:rsid w:val="00185CD9"/>
    <w:rsid w:val="00185E3A"/>
    <w:rsid w:val="001868EF"/>
    <w:rsid w:val="00186929"/>
    <w:rsid w:val="00187848"/>
    <w:rsid w:val="001900CA"/>
    <w:rsid w:val="00190F6B"/>
    <w:rsid w:val="00190FFD"/>
    <w:rsid w:val="0019182B"/>
    <w:rsid w:val="00191EDF"/>
    <w:rsid w:val="00192197"/>
    <w:rsid w:val="00192403"/>
    <w:rsid w:val="0019288F"/>
    <w:rsid w:val="00195237"/>
    <w:rsid w:val="001955D7"/>
    <w:rsid w:val="00195BCC"/>
    <w:rsid w:val="00196389"/>
    <w:rsid w:val="00196739"/>
    <w:rsid w:val="00197439"/>
    <w:rsid w:val="001A027E"/>
    <w:rsid w:val="001A0321"/>
    <w:rsid w:val="001A0931"/>
    <w:rsid w:val="001A1DF2"/>
    <w:rsid w:val="001A1E81"/>
    <w:rsid w:val="001A1EEB"/>
    <w:rsid w:val="001A2ECE"/>
    <w:rsid w:val="001A375F"/>
    <w:rsid w:val="001A3B14"/>
    <w:rsid w:val="001A3F13"/>
    <w:rsid w:val="001A50A7"/>
    <w:rsid w:val="001A674D"/>
    <w:rsid w:val="001A7EB8"/>
    <w:rsid w:val="001B06EC"/>
    <w:rsid w:val="001B1541"/>
    <w:rsid w:val="001B15A6"/>
    <w:rsid w:val="001B21A4"/>
    <w:rsid w:val="001B2C8E"/>
    <w:rsid w:val="001B2E43"/>
    <w:rsid w:val="001B2EEA"/>
    <w:rsid w:val="001B2F62"/>
    <w:rsid w:val="001B3DA6"/>
    <w:rsid w:val="001B458F"/>
    <w:rsid w:val="001B469D"/>
    <w:rsid w:val="001B46C6"/>
    <w:rsid w:val="001B4907"/>
    <w:rsid w:val="001B56B3"/>
    <w:rsid w:val="001B5972"/>
    <w:rsid w:val="001B655C"/>
    <w:rsid w:val="001B7195"/>
    <w:rsid w:val="001C0014"/>
    <w:rsid w:val="001C16E8"/>
    <w:rsid w:val="001C17F3"/>
    <w:rsid w:val="001C28D5"/>
    <w:rsid w:val="001C2E62"/>
    <w:rsid w:val="001C304B"/>
    <w:rsid w:val="001C3650"/>
    <w:rsid w:val="001C385B"/>
    <w:rsid w:val="001C393E"/>
    <w:rsid w:val="001C399B"/>
    <w:rsid w:val="001C4BC6"/>
    <w:rsid w:val="001C5BD7"/>
    <w:rsid w:val="001C6FE3"/>
    <w:rsid w:val="001C72E4"/>
    <w:rsid w:val="001C7C23"/>
    <w:rsid w:val="001D04C4"/>
    <w:rsid w:val="001D1277"/>
    <w:rsid w:val="001D23DF"/>
    <w:rsid w:val="001D264E"/>
    <w:rsid w:val="001D2E3D"/>
    <w:rsid w:val="001D3E85"/>
    <w:rsid w:val="001D3E94"/>
    <w:rsid w:val="001D4CA0"/>
    <w:rsid w:val="001D5383"/>
    <w:rsid w:val="001D5A9F"/>
    <w:rsid w:val="001D6A20"/>
    <w:rsid w:val="001D71DF"/>
    <w:rsid w:val="001D7881"/>
    <w:rsid w:val="001E076D"/>
    <w:rsid w:val="001E11D7"/>
    <w:rsid w:val="001E1391"/>
    <w:rsid w:val="001E2958"/>
    <w:rsid w:val="001E2D93"/>
    <w:rsid w:val="001E325B"/>
    <w:rsid w:val="001E400C"/>
    <w:rsid w:val="001E45C5"/>
    <w:rsid w:val="001E4B8A"/>
    <w:rsid w:val="001E52B0"/>
    <w:rsid w:val="001E53A6"/>
    <w:rsid w:val="001E574D"/>
    <w:rsid w:val="001E6A6B"/>
    <w:rsid w:val="001E793C"/>
    <w:rsid w:val="001E7BF0"/>
    <w:rsid w:val="001F01E9"/>
    <w:rsid w:val="001F186D"/>
    <w:rsid w:val="001F1F52"/>
    <w:rsid w:val="001F2D4D"/>
    <w:rsid w:val="001F3236"/>
    <w:rsid w:val="001F3AFF"/>
    <w:rsid w:val="001F4BD6"/>
    <w:rsid w:val="001F7158"/>
    <w:rsid w:val="00200134"/>
    <w:rsid w:val="0020026D"/>
    <w:rsid w:val="002007D0"/>
    <w:rsid w:val="00200DFB"/>
    <w:rsid w:val="00202340"/>
    <w:rsid w:val="002023B6"/>
    <w:rsid w:val="002025C6"/>
    <w:rsid w:val="00202C5D"/>
    <w:rsid w:val="00204119"/>
    <w:rsid w:val="00204D85"/>
    <w:rsid w:val="00205215"/>
    <w:rsid w:val="00206E6B"/>
    <w:rsid w:val="00207BAB"/>
    <w:rsid w:val="0021030E"/>
    <w:rsid w:val="00214174"/>
    <w:rsid w:val="00214D70"/>
    <w:rsid w:val="00215185"/>
    <w:rsid w:val="002151B3"/>
    <w:rsid w:val="00215865"/>
    <w:rsid w:val="00215C5E"/>
    <w:rsid w:val="0021601A"/>
    <w:rsid w:val="00216030"/>
    <w:rsid w:val="00216242"/>
    <w:rsid w:val="00217029"/>
    <w:rsid w:val="00217172"/>
    <w:rsid w:val="00217860"/>
    <w:rsid w:val="00217FC5"/>
    <w:rsid w:val="00221ADA"/>
    <w:rsid w:val="00222CFD"/>
    <w:rsid w:val="00223417"/>
    <w:rsid w:val="002237BD"/>
    <w:rsid w:val="00223879"/>
    <w:rsid w:val="00223A6F"/>
    <w:rsid w:val="00226174"/>
    <w:rsid w:val="00226556"/>
    <w:rsid w:val="00226C3E"/>
    <w:rsid w:val="00226D23"/>
    <w:rsid w:val="00226FF1"/>
    <w:rsid w:val="0022706D"/>
    <w:rsid w:val="002270A5"/>
    <w:rsid w:val="002303A7"/>
    <w:rsid w:val="002327A1"/>
    <w:rsid w:val="00232859"/>
    <w:rsid w:val="0023401F"/>
    <w:rsid w:val="00234F45"/>
    <w:rsid w:val="002364AB"/>
    <w:rsid w:val="0024048F"/>
    <w:rsid w:val="002405AE"/>
    <w:rsid w:val="00241887"/>
    <w:rsid w:val="00241DF8"/>
    <w:rsid w:val="002425B0"/>
    <w:rsid w:val="00242D70"/>
    <w:rsid w:val="00243933"/>
    <w:rsid w:val="002441DF"/>
    <w:rsid w:val="00244272"/>
    <w:rsid w:val="00244339"/>
    <w:rsid w:val="00246191"/>
    <w:rsid w:val="0024670B"/>
    <w:rsid w:val="00247246"/>
    <w:rsid w:val="002473F4"/>
    <w:rsid w:val="00247683"/>
    <w:rsid w:val="00250B29"/>
    <w:rsid w:val="00251B97"/>
    <w:rsid w:val="00252345"/>
    <w:rsid w:val="00253183"/>
    <w:rsid w:val="00254D62"/>
    <w:rsid w:val="00254DDE"/>
    <w:rsid w:val="00254E48"/>
    <w:rsid w:val="00254F42"/>
    <w:rsid w:val="00255D6A"/>
    <w:rsid w:val="00257C1D"/>
    <w:rsid w:val="00260202"/>
    <w:rsid w:val="00260E89"/>
    <w:rsid w:val="00262A88"/>
    <w:rsid w:val="00264968"/>
    <w:rsid w:val="002652DF"/>
    <w:rsid w:val="0026565D"/>
    <w:rsid w:val="0026611C"/>
    <w:rsid w:val="00267C19"/>
    <w:rsid w:val="002701B8"/>
    <w:rsid w:val="00271021"/>
    <w:rsid w:val="00271404"/>
    <w:rsid w:val="002725AB"/>
    <w:rsid w:val="00273215"/>
    <w:rsid w:val="00273F70"/>
    <w:rsid w:val="0027416C"/>
    <w:rsid w:val="00274E42"/>
    <w:rsid w:val="00275004"/>
    <w:rsid w:val="00277321"/>
    <w:rsid w:val="00277890"/>
    <w:rsid w:val="00280932"/>
    <w:rsid w:val="0028183C"/>
    <w:rsid w:val="00282672"/>
    <w:rsid w:val="00282B56"/>
    <w:rsid w:val="0028461C"/>
    <w:rsid w:val="00284D4A"/>
    <w:rsid w:val="0028618F"/>
    <w:rsid w:val="00287C11"/>
    <w:rsid w:val="0029186D"/>
    <w:rsid w:val="00292F60"/>
    <w:rsid w:val="00293C5C"/>
    <w:rsid w:val="0029420E"/>
    <w:rsid w:val="002945F8"/>
    <w:rsid w:val="00294E99"/>
    <w:rsid w:val="002953F0"/>
    <w:rsid w:val="0029647B"/>
    <w:rsid w:val="002974D4"/>
    <w:rsid w:val="002976FE"/>
    <w:rsid w:val="002A08FA"/>
    <w:rsid w:val="002A1826"/>
    <w:rsid w:val="002A1CD9"/>
    <w:rsid w:val="002A1DE2"/>
    <w:rsid w:val="002A39B4"/>
    <w:rsid w:val="002A4087"/>
    <w:rsid w:val="002A4B45"/>
    <w:rsid w:val="002A4E43"/>
    <w:rsid w:val="002A52EE"/>
    <w:rsid w:val="002A59BF"/>
    <w:rsid w:val="002A6440"/>
    <w:rsid w:val="002A6DBD"/>
    <w:rsid w:val="002A71B6"/>
    <w:rsid w:val="002A7E03"/>
    <w:rsid w:val="002A7FF4"/>
    <w:rsid w:val="002B056C"/>
    <w:rsid w:val="002B0739"/>
    <w:rsid w:val="002B185B"/>
    <w:rsid w:val="002B29F2"/>
    <w:rsid w:val="002B2D64"/>
    <w:rsid w:val="002B493D"/>
    <w:rsid w:val="002B4EC9"/>
    <w:rsid w:val="002B59F5"/>
    <w:rsid w:val="002B65F6"/>
    <w:rsid w:val="002B6F25"/>
    <w:rsid w:val="002B74C8"/>
    <w:rsid w:val="002B78FF"/>
    <w:rsid w:val="002B7B9B"/>
    <w:rsid w:val="002B7ECF"/>
    <w:rsid w:val="002C0995"/>
    <w:rsid w:val="002C20B6"/>
    <w:rsid w:val="002C2562"/>
    <w:rsid w:val="002C3600"/>
    <w:rsid w:val="002C39D2"/>
    <w:rsid w:val="002C61B4"/>
    <w:rsid w:val="002C732A"/>
    <w:rsid w:val="002D07AF"/>
    <w:rsid w:val="002D17EC"/>
    <w:rsid w:val="002D18CB"/>
    <w:rsid w:val="002D2D60"/>
    <w:rsid w:val="002D2F91"/>
    <w:rsid w:val="002D360C"/>
    <w:rsid w:val="002D3C3B"/>
    <w:rsid w:val="002D45E1"/>
    <w:rsid w:val="002D634E"/>
    <w:rsid w:val="002D6614"/>
    <w:rsid w:val="002D74FE"/>
    <w:rsid w:val="002D78E9"/>
    <w:rsid w:val="002E1954"/>
    <w:rsid w:val="002E237D"/>
    <w:rsid w:val="002E2D07"/>
    <w:rsid w:val="002E2DC3"/>
    <w:rsid w:val="002E3E74"/>
    <w:rsid w:val="002E4296"/>
    <w:rsid w:val="002E5B5F"/>
    <w:rsid w:val="002E5C1A"/>
    <w:rsid w:val="002E6999"/>
    <w:rsid w:val="002E6A78"/>
    <w:rsid w:val="002E7F24"/>
    <w:rsid w:val="002F0673"/>
    <w:rsid w:val="002F07F1"/>
    <w:rsid w:val="002F0DA5"/>
    <w:rsid w:val="002F0E86"/>
    <w:rsid w:val="002F163D"/>
    <w:rsid w:val="002F2AB9"/>
    <w:rsid w:val="002F2E19"/>
    <w:rsid w:val="002F347B"/>
    <w:rsid w:val="002F560A"/>
    <w:rsid w:val="002F59B7"/>
    <w:rsid w:val="002F5ACC"/>
    <w:rsid w:val="002F62AB"/>
    <w:rsid w:val="002F72E4"/>
    <w:rsid w:val="002F7D76"/>
    <w:rsid w:val="003000A1"/>
    <w:rsid w:val="003006AF"/>
    <w:rsid w:val="00300D39"/>
    <w:rsid w:val="00302616"/>
    <w:rsid w:val="00303559"/>
    <w:rsid w:val="003039E1"/>
    <w:rsid w:val="003054E8"/>
    <w:rsid w:val="003077EB"/>
    <w:rsid w:val="00311812"/>
    <w:rsid w:val="003118D8"/>
    <w:rsid w:val="00312969"/>
    <w:rsid w:val="00312B78"/>
    <w:rsid w:val="003135B3"/>
    <w:rsid w:val="003137BC"/>
    <w:rsid w:val="003142A9"/>
    <w:rsid w:val="00315663"/>
    <w:rsid w:val="00315795"/>
    <w:rsid w:val="00315B78"/>
    <w:rsid w:val="00317032"/>
    <w:rsid w:val="003177A4"/>
    <w:rsid w:val="003177F7"/>
    <w:rsid w:val="00317DA1"/>
    <w:rsid w:val="00320603"/>
    <w:rsid w:val="00320D5D"/>
    <w:rsid w:val="00323141"/>
    <w:rsid w:val="00323547"/>
    <w:rsid w:val="00323CE8"/>
    <w:rsid w:val="00324551"/>
    <w:rsid w:val="00324D20"/>
    <w:rsid w:val="00324DD0"/>
    <w:rsid w:val="00325BEA"/>
    <w:rsid w:val="003266A4"/>
    <w:rsid w:val="00326C56"/>
    <w:rsid w:val="00326CB0"/>
    <w:rsid w:val="00327C07"/>
    <w:rsid w:val="00332089"/>
    <w:rsid w:val="003325F6"/>
    <w:rsid w:val="00333F44"/>
    <w:rsid w:val="00334573"/>
    <w:rsid w:val="00336CC4"/>
    <w:rsid w:val="00337183"/>
    <w:rsid w:val="0033732F"/>
    <w:rsid w:val="00337BA9"/>
    <w:rsid w:val="003411A9"/>
    <w:rsid w:val="00341542"/>
    <w:rsid w:val="003427AE"/>
    <w:rsid w:val="00343A47"/>
    <w:rsid w:val="00343AF3"/>
    <w:rsid w:val="00343B2D"/>
    <w:rsid w:val="00343BB4"/>
    <w:rsid w:val="00343EF4"/>
    <w:rsid w:val="00345984"/>
    <w:rsid w:val="003471BD"/>
    <w:rsid w:val="0035054A"/>
    <w:rsid w:val="00350CCC"/>
    <w:rsid w:val="00351460"/>
    <w:rsid w:val="003515E2"/>
    <w:rsid w:val="00351BF2"/>
    <w:rsid w:val="00351D96"/>
    <w:rsid w:val="003535C1"/>
    <w:rsid w:val="00353F00"/>
    <w:rsid w:val="00354FF9"/>
    <w:rsid w:val="00355A65"/>
    <w:rsid w:val="00357E21"/>
    <w:rsid w:val="00361EB9"/>
    <w:rsid w:val="00362D6F"/>
    <w:rsid w:val="0036353E"/>
    <w:rsid w:val="0036478E"/>
    <w:rsid w:val="00364BFB"/>
    <w:rsid w:val="00367001"/>
    <w:rsid w:val="00367363"/>
    <w:rsid w:val="00371DD7"/>
    <w:rsid w:val="00372B39"/>
    <w:rsid w:val="003757C0"/>
    <w:rsid w:val="003768CB"/>
    <w:rsid w:val="0037703A"/>
    <w:rsid w:val="0037705D"/>
    <w:rsid w:val="00377547"/>
    <w:rsid w:val="00380FA6"/>
    <w:rsid w:val="0038149A"/>
    <w:rsid w:val="00381D15"/>
    <w:rsid w:val="00382434"/>
    <w:rsid w:val="00382720"/>
    <w:rsid w:val="003828A6"/>
    <w:rsid w:val="003838FA"/>
    <w:rsid w:val="0038501D"/>
    <w:rsid w:val="003864AB"/>
    <w:rsid w:val="00386D16"/>
    <w:rsid w:val="00387DC6"/>
    <w:rsid w:val="0039150E"/>
    <w:rsid w:val="0039154D"/>
    <w:rsid w:val="003935D8"/>
    <w:rsid w:val="00393C64"/>
    <w:rsid w:val="00393CE7"/>
    <w:rsid w:val="00394518"/>
    <w:rsid w:val="00394636"/>
    <w:rsid w:val="0039494D"/>
    <w:rsid w:val="00394F7C"/>
    <w:rsid w:val="00394FF0"/>
    <w:rsid w:val="00395301"/>
    <w:rsid w:val="0039571D"/>
    <w:rsid w:val="00395E5B"/>
    <w:rsid w:val="0039729B"/>
    <w:rsid w:val="00397D5C"/>
    <w:rsid w:val="003A3E71"/>
    <w:rsid w:val="003A631E"/>
    <w:rsid w:val="003A6607"/>
    <w:rsid w:val="003A6C86"/>
    <w:rsid w:val="003A780C"/>
    <w:rsid w:val="003A7B6A"/>
    <w:rsid w:val="003B1BF5"/>
    <w:rsid w:val="003B2217"/>
    <w:rsid w:val="003B44C9"/>
    <w:rsid w:val="003B4D42"/>
    <w:rsid w:val="003B5F03"/>
    <w:rsid w:val="003B6679"/>
    <w:rsid w:val="003C0579"/>
    <w:rsid w:val="003C0DF0"/>
    <w:rsid w:val="003C1387"/>
    <w:rsid w:val="003C1696"/>
    <w:rsid w:val="003C26F9"/>
    <w:rsid w:val="003C37C1"/>
    <w:rsid w:val="003C4596"/>
    <w:rsid w:val="003C4B6E"/>
    <w:rsid w:val="003C4B86"/>
    <w:rsid w:val="003C4E63"/>
    <w:rsid w:val="003C585E"/>
    <w:rsid w:val="003C5FD9"/>
    <w:rsid w:val="003C6F87"/>
    <w:rsid w:val="003C7A89"/>
    <w:rsid w:val="003D0427"/>
    <w:rsid w:val="003D1980"/>
    <w:rsid w:val="003D348E"/>
    <w:rsid w:val="003D400B"/>
    <w:rsid w:val="003D47C2"/>
    <w:rsid w:val="003D4CF6"/>
    <w:rsid w:val="003D5FEB"/>
    <w:rsid w:val="003D631D"/>
    <w:rsid w:val="003D7331"/>
    <w:rsid w:val="003D7F5F"/>
    <w:rsid w:val="003E03B7"/>
    <w:rsid w:val="003E133E"/>
    <w:rsid w:val="003E17E9"/>
    <w:rsid w:val="003E19E8"/>
    <w:rsid w:val="003E1E55"/>
    <w:rsid w:val="003E38B9"/>
    <w:rsid w:val="003E50B3"/>
    <w:rsid w:val="003E7A86"/>
    <w:rsid w:val="003F0120"/>
    <w:rsid w:val="003F05E4"/>
    <w:rsid w:val="003F1968"/>
    <w:rsid w:val="003F2A91"/>
    <w:rsid w:val="003F3124"/>
    <w:rsid w:val="003F3841"/>
    <w:rsid w:val="003F4F7B"/>
    <w:rsid w:val="003F5235"/>
    <w:rsid w:val="003F6AE1"/>
    <w:rsid w:val="003F71D9"/>
    <w:rsid w:val="003F7B7E"/>
    <w:rsid w:val="003F7C0E"/>
    <w:rsid w:val="003F7DF6"/>
    <w:rsid w:val="00400044"/>
    <w:rsid w:val="00400450"/>
    <w:rsid w:val="004005B3"/>
    <w:rsid w:val="00400950"/>
    <w:rsid w:val="004009B2"/>
    <w:rsid w:val="00400A4A"/>
    <w:rsid w:val="0040132D"/>
    <w:rsid w:val="00402092"/>
    <w:rsid w:val="004027D3"/>
    <w:rsid w:val="004043C0"/>
    <w:rsid w:val="00404526"/>
    <w:rsid w:val="00405B69"/>
    <w:rsid w:val="00411421"/>
    <w:rsid w:val="00412269"/>
    <w:rsid w:val="004130C4"/>
    <w:rsid w:val="004139CD"/>
    <w:rsid w:val="0041499A"/>
    <w:rsid w:val="00415099"/>
    <w:rsid w:val="00415555"/>
    <w:rsid w:val="00416A3C"/>
    <w:rsid w:val="0041744E"/>
    <w:rsid w:val="00417884"/>
    <w:rsid w:val="004178B1"/>
    <w:rsid w:val="00420AF4"/>
    <w:rsid w:val="00421653"/>
    <w:rsid w:val="00422BBB"/>
    <w:rsid w:val="00423B6D"/>
    <w:rsid w:val="0042583F"/>
    <w:rsid w:val="00430128"/>
    <w:rsid w:val="0043100E"/>
    <w:rsid w:val="00433F74"/>
    <w:rsid w:val="00434E3E"/>
    <w:rsid w:val="004355EA"/>
    <w:rsid w:val="00435771"/>
    <w:rsid w:val="004362D8"/>
    <w:rsid w:val="00436356"/>
    <w:rsid w:val="00441259"/>
    <w:rsid w:val="0044151B"/>
    <w:rsid w:val="004415E6"/>
    <w:rsid w:val="00441E1B"/>
    <w:rsid w:val="00442548"/>
    <w:rsid w:val="00442B96"/>
    <w:rsid w:val="004436B9"/>
    <w:rsid w:val="00446A24"/>
    <w:rsid w:val="004478FF"/>
    <w:rsid w:val="0044792C"/>
    <w:rsid w:val="00451A85"/>
    <w:rsid w:val="00454C81"/>
    <w:rsid w:val="004550EA"/>
    <w:rsid w:val="004552AF"/>
    <w:rsid w:val="00455474"/>
    <w:rsid w:val="00455E79"/>
    <w:rsid w:val="00456027"/>
    <w:rsid w:val="00457AD8"/>
    <w:rsid w:val="00460144"/>
    <w:rsid w:val="00460E89"/>
    <w:rsid w:val="00462CFE"/>
    <w:rsid w:val="004638AC"/>
    <w:rsid w:val="00465807"/>
    <w:rsid w:val="0046616E"/>
    <w:rsid w:val="00466D8A"/>
    <w:rsid w:val="00470297"/>
    <w:rsid w:val="00470BEB"/>
    <w:rsid w:val="0047118A"/>
    <w:rsid w:val="00472011"/>
    <w:rsid w:val="00472471"/>
    <w:rsid w:val="00472CE9"/>
    <w:rsid w:val="00473613"/>
    <w:rsid w:val="00473848"/>
    <w:rsid w:val="00474A95"/>
    <w:rsid w:val="004751C1"/>
    <w:rsid w:val="00476C4A"/>
    <w:rsid w:val="00477B6A"/>
    <w:rsid w:val="00480A79"/>
    <w:rsid w:val="00481803"/>
    <w:rsid w:val="004822ED"/>
    <w:rsid w:val="00483FD1"/>
    <w:rsid w:val="00484E4C"/>
    <w:rsid w:val="00485152"/>
    <w:rsid w:val="0048571E"/>
    <w:rsid w:val="0048714E"/>
    <w:rsid w:val="004904F3"/>
    <w:rsid w:val="004908D0"/>
    <w:rsid w:val="00490F0E"/>
    <w:rsid w:val="00493ADC"/>
    <w:rsid w:val="00496EBE"/>
    <w:rsid w:val="0049790E"/>
    <w:rsid w:val="00497F7F"/>
    <w:rsid w:val="004A28FE"/>
    <w:rsid w:val="004A29EE"/>
    <w:rsid w:val="004A335D"/>
    <w:rsid w:val="004A47CF"/>
    <w:rsid w:val="004A4F82"/>
    <w:rsid w:val="004A4FAE"/>
    <w:rsid w:val="004A619E"/>
    <w:rsid w:val="004A643B"/>
    <w:rsid w:val="004A68B1"/>
    <w:rsid w:val="004A6947"/>
    <w:rsid w:val="004A7284"/>
    <w:rsid w:val="004A7A94"/>
    <w:rsid w:val="004A7AC8"/>
    <w:rsid w:val="004B160D"/>
    <w:rsid w:val="004B1FE9"/>
    <w:rsid w:val="004B2044"/>
    <w:rsid w:val="004B2436"/>
    <w:rsid w:val="004B25CE"/>
    <w:rsid w:val="004B2718"/>
    <w:rsid w:val="004B472C"/>
    <w:rsid w:val="004B47E3"/>
    <w:rsid w:val="004B5396"/>
    <w:rsid w:val="004B7B7A"/>
    <w:rsid w:val="004B7E4D"/>
    <w:rsid w:val="004C09B1"/>
    <w:rsid w:val="004C1579"/>
    <w:rsid w:val="004C1A68"/>
    <w:rsid w:val="004C386F"/>
    <w:rsid w:val="004C3948"/>
    <w:rsid w:val="004C59E3"/>
    <w:rsid w:val="004C6360"/>
    <w:rsid w:val="004C7B08"/>
    <w:rsid w:val="004D070B"/>
    <w:rsid w:val="004D15A1"/>
    <w:rsid w:val="004D1799"/>
    <w:rsid w:val="004D28FD"/>
    <w:rsid w:val="004D2927"/>
    <w:rsid w:val="004D2BEB"/>
    <w:rsid w:val="004D2BEC"/>
    <w:rsid w:val="004D45E5"/>
    <w:rsid w:val="004D63EB"/>
    <w:rsid w:val="004D6DAF"/>
    <w:rsid w:val="004D6E39"/>
    <w:rsid w:val="004D7C88"/>
    <w:rsid w:val="004E0C43"/>
    <w:rsid w:val="004E168A"/>
    <w:rsid w:val="004E22B7"/>
    <w:rsid w:val="004E255B"/>
    <w:rsid w:val="004E2594"/>
    <w:rsid w:val="004E5B82"/>
    <w:rsid w:val="004E6085"/>
    <w:rsid w:val="004E6F51"/>
    <w:rsid w:val="004E7CCF"/>
    <w:rsid w:val="004F02C9"/>
    <w:rsid w:val="004F0E12"/>
    <w:rsid w:val="004F1647"/>
    <w:rsid w:val="004F1990"/>
    <w:rsid w:val="004F25A1"/>
    <w:rsid w:val="004F2DA8"/>
    <w:rsid w:val="004F4309"/>
    <w:rsid w:val="004F4E18"/>
    <w:rsid w:val="004F5C7E"/>
    <w:rsid w:val="004F65E4"/>
    <w:rsid w:val="004F7656"/>
    <w:rsid w:val="005002F2"/>
    <w:rsid w:val="0050069C"/>
    <w:rsid w:val="00500781"/>
    <w:rsid w:val="0050119A"/>
    <w:rsid w:val="005015AB"/>
    <w:rsid w:val="0050197D"/>
    <w:rsid w:val="00501D39"/>
    <w:rsid w:val="00501DB3"/>
    <w:rsid w:val="005022E1"/>
    <w:rsid w:val="0050551B"/>
    <w:rsid w:val="00506582"/>
    <w:rsid w:val="0050738A"/>
    <w:rsid w:val="00507433"/>
    <w:rsid w:val="00507566"/>
    <w:rsid w:val="00507BD9"/>
    <w:rsid w:val="00507F2C"/>
    <w:rsid w:val="00510643"/>
    <w:rsid w:val="005106B0"/>
    <w:rsid w:val="005109A3"/>
    <w:rsid w:val="005109CB"/>
    <w:rsid w:val="0051161C"/>
    <w:rsid w:val="00511CF4"/>
    <w:rsid w:val="00512CAE"/>
    <w:rsid w:val="00512D27"/>
    <w:rsid w:val="005202E2"/>
    <w:rsid w:val="00521048"/>
    <w:rsid w:val="005211A9"/>
    <w:rsid w:val="00523756"/>
    <w:rsid w:val="00523D19"/>
    <w:rsid w:val="00523E38"/>
    <w:rsid w:val="00524C67"/>
    <w:rsid w:val="00525F60"/>
    <w:rsid w:val="0052745D"/>
    <w:rsid w:val="005274B1"/>
    <w:rsid w:val="00527BDE"/>
    <w:rsid w:val="005310CA"/>
    <w:rsid w:val="00531428"/>
    <w:rsid w:val="00531503"/>
    <w:rsid w:val="005320F2"/>
    <w:rsid w:val="00532780"/>
    <w:rsid w:val="00534269"/>
    <w:rsid w:val="00534CE1"/>
    <w:rsid w:val="00534EA9"/>
    <w:rsid w:val="00535569"/>
    <w:rsid w:val="00535A53"/>
    <w:rsid w:val="00536273"/>
    <w:rsid w:val="005368C5"/>
    <w:rsid w:val="00536ACD"/>
    <w:rsid w:val="00536EBD"/>
    <w:rsid w:val="0053781C"/>
    <w:rsid w:val="00537EF2"/>
    <w:rsid w:val="00537FF6"/>
    <w:rsid w:val="00540A86"/>
    <w:rsid w:val="00540D3E"/>
    <w:rsid w:val="005416FB"/>
    <w:rsid w:val="0054175A"/>
    <w:rsid w:val="00542B16"/>
    <w:rsid w:val="00542C5F"/>
    <w:rsid w:val="00543729"/>
    <w:rsid w:val="00543AFD"/>
    <w:rsid w:val="005466C3"/>
    <w:rsid w:val="00546D24"/>
    <w:rsid w:val="00547537"/>
    <w:rsid w:val="00547AEB"/>
    <w:rsid w:val="00547F02"/>
    <w:rsid w:val="005516A3"/>
    <w:rsid w:val="00551B41"/>
    <w:rsid w:val="00552177"/>
    <w:rsid w:val="005529DF"/>
    <w:rsid w:val="00554660"/>
    <w:rsid w:val="00555239"/>
    <w:rsid w:val="00555683"/>
    <w:rsid w:val="00555952"/>
    <w:rsid w:val="00555988"/>
    <w:rsid w:val="00555F70"/>
    <w:rsid w:val="005564B1"/>
    <w:rsid w:val="00560547"/>
    <w:rsid w:val="00560AB8"/>
    <w:rsid w:val="00560E70"/>
    <w:rsid w:val="00561AD0"/>
    <w:rsid w:val="00561E84"/>
    <w:rsid w:val="00562C25"/>
    <w:rsid w:val="00562E21"/>
    <w:rsid w:val="005641F3"/>
    <w:rsid w:val="0056471C"/>
    <w:rsid w:val="00565EE6"/>
    <w:rsid w:val="0056726E"/>
    <w:rsid w:val="0057058A"/>
    <w:rsid w:val="0057190B"/>
    <w:rsid w:val="00572815"/>
    <w:rsid w:val="00572F5B"/>
    <w:rsid w:val="00573E6A"/>
    <w:rsid w:val="005740A9"/>
    <w:rsid w:val="00574A75"/>
    <w:rsid w:val="00574B78"/>
    <w:rsid w:val="00575BFA"/>
    <w:rsid w:val="00576037"/>
    <w:rsid w:val="005762EA"/>
    <w:rsid w:val="00576DB3"/>
    <w:rsid w:val="00580712"/>
    <w:rsid w:val="00581FEB"/>
    <w:rsid w:val="00581FF0"/>
    <w:rsid w:val="0058300F"/>
    <w:rsid w:val="00584420"/>
    <w:rsid w:val="005855D9"/>
    <w:rsid w:val="00585E4B"/>
    <w:rsid w:val="005862E0"/>
    <w:rsid w:val="00586428"/>
    <w:rsid w:val="00590D43"/>
    <w:rsid w:val="00591E69"/>
    <w:rsid w:val="00591FB0"/>
    <w:rsid w:val="0059240C"/>
    <w:rsid w:val="00592C17"/>
    <w:rsid w:val="0059467B"/>
    <w:rsid w:val="00596DC7"/>
    <w:rsid w:val="00597238"/>
    <w:rsid w:val="0059724B"/>
    <w:rsid w:val="00597E19"/>
    <w:rsid w:val="005A02BA"/>
    <w:rsid w:val="005A1596"/>
    <w:rsid w:val="005A2585"/>
    <w:rsid w:val="005A25B8"/>
    <w:rsid w:val="005A2B68"/>
    <w:rsid w:val="005A35AB"/>
    <w:rsid w:val="005A363E"/>
    <w:rsid w:val="005A494B"/>
    <w:rsid w:val="005A5991"/>
    <w:rsid w:val="005A619C"/>
    <w:rsid w:val="005A6D59"/>
    <w:rsid w:val="005A736B"/>
    <w:rsid w:val="005A7BB0"/>
    <w:rsid w:val="005A7F7E"/>
    <w:rsid w:val="005B2FA4"/>
    <w:rsid w:val="005B328F"/>
    <w:rsid w:val="005B32FC"/>
    <w:rsid w:val="005B447B"/>
    <w:rsid w:val="005B60B4"/>
    <w:rsid w:val="005B7D80"/>
    <w:rsid w:val="005C09C6"/>
    <w:rsid w:val="005C0A24"/>
    <w:rsid w:val="005C4A69"/>
    <w:rsid w:val="005C507C"/>
    <w:rsid w:val="005C5622"/>
    <w:rsid w:val="005C5848"/>
    <w:rsid w:val="005C5F9F"/>
    <w:rsid w:val="005C610A"/>
    <w:rsid w:val="005C6209"/>
    <w:rsid w:val="005C735C"/>
    <w:rsid w:val="005D0191"/>
    <w:rsid w:val="005D1279"/>
    <w:rsid w:val="005D2B7F"/>
    <w:rsid w:val="005D2FC4"/>
    <w:rsid w:val="005D5C63"/>
    <w:rsid w:val="005D5E70"/>
    <w:rsid w:val="005D6263"/>
    <w:rsid w:val="005D6E48"/>
    <w:rsid w:val="005E1182"/>
    <w:rsid w:val="005E1645"/>
    <w:rsid w:val="005E1D6D"/>
    <w:rsid w:val="005E4845"/>
    <w:rsid w:val="005E5D00"/>
    <w:rsid w:val="005E6657"/>
    <w:rsid w:val="005E6B49"/>
    <w:rsid w:val="005F073B"/>
    <w:rsid w:val="005F0DA9"/>
    <w:rsid w:val="005F1664"/>
    <w:rsid w:val="005F2F9B"/>
    <w:rsid w:val="005F3072"/>
    <w:rsid w:val="005F35E0"/>
    <w:rsid w:val="005F3D91"/>
    <w:rsid w:val="005F40A7"/>
    <w:rsid w:val="005F48DC"/>
    <w:rsid w:val="005F547A"/>
    <w:rsid w:val="005F6308"/>
    <w:rsid w:val="005F66F8"/>
    <w:rsid w:val="005F77B8"/>
    <w:rsid w:val="00600133"/>
    <w:rsid w:val="006001D2"/>
    <w:rsid w:val="00601950"/>
    <w:rsid w:val="00601BB5"/>
    <w:rsid w:val="00601CEC"/>
    <w:rsid w:val="00601DB8"/>
    <w:rsid w:val="0060232C"/>
    <w:rsid w:val="0060294C"/>
    <w:rsid w:val="00603199"/>
    <w:rsid w:val="0060434A"/>
    <w:rsid w:val="006053E7"/>
    <w:rsid w:val="00605636"/>
    <w:rsid w:val="00607A0B"/>
    <w:rsid w:val="00607FED"/>
    <w:rsid w:val="0061016A"/>
    <w:rsid w:val="0061089B"/>
    <w:rsid w:val="00610BA4"/>
    <w:rsid w:val="00610BC7"/>
    <w:rsid w:val="00611F4B"/>
    <w:rsid w:val="00612B97"/>
    <w:rsid w:val="00612C66"/>
    <w:rsid w:val="006135AE"/>
    <w:rsid w:val="006141B2"/>
    <w:rsid w:val="0061481B"/>
    <w:rsid w:val="00616DA3"/>
    <w:rsid w:val="0061737D"/>
    <w:rsid w:val="00617B77"/>
    <w:rsid w:val="006200CC"/>
    <w:rsid w:val="006207FC"/>
    <w:rsid w:val="0062137A"/>
    <w:rsid w:val="00621DCD"/>
    <w:rsid w:val="0062284B"/>
    <w:rsid w:val="006236EC"/>
    <w:rsid w:val="00623C8B"/>
    <w:rsid w:val="00623E82"/>
    <w:rsid w:val="00624A46"/>
    <w:rsid w:val="006268F0"/>
    <w:rsid w:val="00626E80"/>
    <w:rsid w:val="00627A5B"/>
    <w:rsid w:val="006300EF"/>
    <w:rsid w:val="0063072C"/>
    <w:rsid w:val="006315AA"/>
    <w:rsid w:val="00631A5A"/>
    <w:rsid w:val="00632115"/>
    <w:rsid w:val="006344A7"/>
    <w:rsid w:val="00635353"/>
    <w:rsid w:val="006365CF"/>
    <w:rsid w:val="00636A83"/>
    <w:rsid w:val="00640874"/>
    <w:rsid w:val="00640E1E"/>
    <w:rsid w:val="00641494"/>
    <w:rsid w:val="00641AC6"/>
    <w:rsid w:val="00642AC7"/>
    <w:rsid w:val="0064453F"/>
    <w:rsid w:val="0064505B"/>
    <w:rsid w:val="006454F7"/>
    <w:rsid w:val="00645C46"/>
    <w:rsid w:val="00645E9E"/>
    <w:rsid w:val="006462CA"/>
    <w:rsid w:val="006467E7"/>
    <w:rsid w:val="00646A34"/>
    <w:rsid w:val="00646BE8"/>
    <w:rsid w:val="00646F93"/>
    <w:rsid w:val="00650912"/>
    <w:rsid w:val="00650F42"/>
    <w:rsid w:val="00651160"/>
    <w:rsid w:val="006527D8"/>
    <w:rsid w:val="006546B3"/>
    <w:rsid w:val="006559A8"/>
    <w:rsid w:val="00656092"/>
    <w:rsid w:val="006563D7"/>
    <w:rsid w:val="00656449"/>
    <w:rsid w:val="00656B31"/>
    <w:rsid w:val="00657797"/>
    <w:rsid w:val="00657962"/>
    <w:rsid w:val="00660552"/>
    <w:rsid w:val="00660C15"/>
    <w:rsid w:val="00661DA9"/>
    <w:rsid w:val="006634C6"/>
    <w:rsid w:val="006642E5"/>
    <w:rsid w:val="00665AD2"/>
    <w:rsid w:val="00666811"/>
    <w:rsid w:val="00666978"/>
    <w:rsid w:val="006673DA"/>
    <w:rsid w:val="00667938"/>
    <w:rsid w:val="00667983"/>
    <w:rsid w:val="00670C10"/>
    <w:rsid w:val="0067196B"/>
    <w:rsid w:val="00673265"/>
    <w:rsid w:val="0067345E"/>
    <w:rsid w:val="0067395F"/>
    <w:rsid w:val="00675F15"/>
    <w:rsid w:val="00676FD3"/>
    <w:rsid w:val="00677428"/>
    <w:rsid w:val="006774C9"/>
    <w:rsid w:val="00677CCA"/>
    <w:rsid w:val="00677F56"/>
    <w:rsid w:val="00680448"/>
    <w:rsid w:val="00680DAE"/>
    <w:rsid w:val="00681E33"/>
    <w:rsid w:val="00682340"/>
    <w:rsid w:val="006823CA"/>
    <w:rsid w:val="00682543"/>
    <w:rsid w:val="0068259C"/>
    <w:rsid w:val="00682B09"/>
    <w:rsid w:val="00682B56"/>
    <w:rsid w:val="00682C7A"/>
    <w:rsid w:val="00682D31"/>
    <w:rsid w:val="00682E70"/>
    <w:rsid w:val="00682FE9"/>
    <w:rsid w:val="006831C5"/>
    <w:rsid w:val="0068362C"/>
    <w:rsid w:val="00683A7A"/>
    <w:rsid w:val="00683B42"/>
    <w:rsid w:val="006840B2"/>
    <w:rsid w:val="0068472B"/>
    <w:rsid w:val="00686B7B"/>
    <w:rsid w:val="0069058C"/>
    <w:rsid w:val="006921D7"/>
    <w:rsid w:val="0069352B"/>
    <w:rsid w:val="00696DAF"/>
    <w:rsid w:val="00697F95"/>
    <w:rsid w:val="006A0068"/>
    <w:rsid w:val="006A0371"/>
    <w:rsid w:val="006A1A5F"/>
    <w:rsid w:val="006A1E30"/>
    <w:rsid w:val="006A3310"/>
    <w:rsid w:val="006A33CE"/>
    <w:rsid w:val="006A4B45"/>
    <w:rsid w:val="006A5538"/>
    <w:rsid w:val="006A571F"/>
    <w:rsid w:val="006A67C5"/>
    <w:rsid w:val="006B1AC5"/>
    <w:rsid w:val="006B243B"/>
    <w:rsid w:val="006B2827"/>
    <w:rsid w:val="006B326D"/>
    <w:rsid w:val="006B3290"/>
    <w:rsid w:val="006B380A"/>
    <w:rsid w:val="006B53CD"/>
    <w:rsid w:val="006B57CB"/>
    <w:rsid w:val="006B5D46"/>
    <w:rsid w:val="006B6F19"/>
    <w:rsid w:val="006B7407"/>
    <w:rsid w:val="006B74D7"/>
    <w:rsid w:val="006B7F44"/>
    <w:rsid w:val="006C0490"/>
    <w:rsid w:val="006C0DA0"/>
    <w:rsid w:val="006C1793"/>
    <w:rsid w:val="006C2035"/>
    <w:rsid w:val="006C4D96"/>
    <w:rsid w:val="006C5A2F"/>
    <w:rsid w:val="006C6932"/>
    <w:rsid w:val="006C693B"/>
    <w:rsid w:val="006C6D0A"/>
    <w:rsid w:val="006C794B"/>
    <w:rsid w:val="006C7A6E"/>
    <w:rsid w:val="006D0822"/>
    <w:rsid w:val="006D15C9"/>
    <w:rsid w:val="006D18A3"/>
    <w:rsid w:val="006D24C3"/>
    <w:rsid w:val="006D2890"/>
    <w:rsid w:val="006D2CAC"/>
    <w:rsid w:val="006D334A"/>
    <w:rsid w:val="006D5F5E"/>
    <w:rsid w:val="006D600B"/>
    <w:rsid w:val="006D6A09"/>
    <w:rsid w:val="006D6BC4"/>
    <w:rsid w:val="006D6D59"/>
    <w:rsid w:val="006D72E2"/>
    <w:rsid w:val="006D7D56"/>
    <w:rsid w:val="006E1CA0"/>
    <w:rsid w:val="006E490D"/>
    <w:rsid w:val="006E57C0"/>
    <w:rsid w:val="006E6F9D"/>
    <w:rsid w:val="006E746E"/>
    <w:rsid w:val="006E7822"/>
    <w:rsid w:val="006F04E6"/>
    <w:rsid w:val="006F138A"/>
    <w:rsid w:val="006F2CC6"/>
    <w:rsid w:val="006F307E"/>
    <w:rsid w:val="006F3091"/>
    <w:rsid w:val="006F3237"/>
    <w:rsid w:val="006F3F3D"/>
    <w:rsid w:val="006F4B08"/>
    <w:rsid w:val="006F5153"/>
    <w:rsid w:val="006F6CC5"/>
    <w:rsid w:val="006F72F4"/>
    <w:rsid w:val="006F7381"/>
    <w:rsid w:val="00700E00"/>
    <w:rsid w:val="00701103"/>
    <w:rsid w:val="00701947"/>
    <w:rsid w:val="00705C74"/>
    <w:rsid w:val="00705E9E"/>
    <w:rsid w:val="00707773"/>
    <w:rsid w:val="00707820"/>
    <w:rsid w:val="00710D46"/>
    <w:rsid w:val="007116E8"/>
    <w:rsid w:val="0071273F"/>
    <w:rsid w:val="00712F70"/>
    <w:rsid w:val="007153AF"/>
    <w:rsid w:val="00716766"/>
    <w:rsid w:val="007168B4"/>
    <w:rsid w:val="0071690C"/>
    <w:rsid w:val="00717233"/>
    <w:rsid w:val="007175E2"/>
    <w:rsid w:val="007219D3"/>
    <w:rsid w:val="007226A0"/>
    <w:rsid w:val="00722D5F"/>
    <w:rsid w:val="00723682"/>
    <w:rsid w:val="0072375E"/>
    <w:rsid w:val="0072423E"/>
    <w:rsid w:val="00724556"/>
    <w:rsid w:val="00724696"/>
    <w:rsid w:val="0072691E"/>
    <w:rsid w:val="00726F50"/>
    <w:rsid w:val="007301C1"/>
    <w:rsid w:val="007305EB"/>
    <w:rsid w:val="00731B90"/>
    <w:rsid w:val="00731CDC"/>
    <w:rsid w:val="0073225F"/>
    <w:rsid w:val="00732AE1"/>
    <w:rsid w:val="007339FE"/>
    <w:rsid w:val="00734971"/>
    <w:rsid w:val="00734977"/>
    <w:rsid w:val="00734D62"/>
    <w:rsid w:val="00734E6A"/>
    <w:rsid w:val="00735146"/>
    <w:rsid w:val="007351FE"/>
    <w:rsid w:val="00735886"/>
    <w:rsid w:val="00736E0A"/>
    <w:rsid w:val="00737655"/>
    <w:rsid w:val="007410E1"/>
    <w:rsid w:val="00745724"/>
    <w:rsid w:val="007473E9"/>
    <w:rsid w:val="00750A37"/>
    <w:rsid w:val="00751BB6"/>
    <w:rsid w:val="007524E2"/>
    <w:rsid w:val="007528B2"/>
    <w:rsid w:val="007532FE"/>
    <w:rsid w:val="007533A6"/>
    <w:rsid w:val="00753AD2"/>
    <w:rsid w:val="00754833"/>
    <w:rsid w:val="00755AB6"/>
    <w:rsid w:val="00756C84"/>
    <w:rsid w:val="00757032"/>
    <w:rsid w:val="00757137"/>
    <w:rsid w:val="00760B06"/>
    <w:rsid w:val="007612A9"/>
    <w:rsid w:val="00761C18"/>
    <w:rsid w:val="007621A7"/>
    <w:rsid w:val="00763343"/>
    <w:rsid w:val="00763890"/>
    <w:rsid w:val="007648BC"/>
    <w:rsid w:val="0076498F"/>
    <w:rsid w:val="00766D67"/>
    <w:rsid w:val="00767D19"/>
    <w:rsid w:val="007707D9"/>
    <w:rsid w:val="00770AAA"/>
    <w:rsid w:val="00770E9D"/>
    <w:rsid w:val="00771BDC"/>
    <w:rsid w:val="00773ADD"/>
    <w:rsid w:val="00773DD2"/>
    <w:rsid w:val="00776114"/>
    <w:rsid w:val="007778C6"/>
    <w:rsid w:val="00777934"/>
    <w:rsid w:val="0078006A"/>
    <w:rsid w:val="0078051D"/>
    <w:rsid w:val="0078270D"/>
    <w:rsid w:val="00782C97"/>
    <w:rsid w:val="00782DC5"/>
    <w:rsid w:val="00783980"/>
    <w:rsid w:val="007843CB"/>
    <w:rsid w:val="007854CF"/>
    <w:rsid w:val="00785954"/>
    <w:rsid w:val="00786192"/>
    <w:rsid w:val="00786444"/>
    <w:rsid w:val="00786D8D"/>
    <w:rsid w:val="0078741E"/>
    <w:rsid w:val="00787D30"/>
    <w:rsid w:val="00787F9A"/>
    <w:rsid w:val="00793698"/>
    <w:rsid w:val="0079373F"/>
    <w:rsid w:val="007939A4"/>
    <w:rsid w:val="007940C8"/>
    <w:rsid w:val="0079425E"/>
    <w:rsid w:val="0079459F"/>
    <w:rsid w:val="00794B83"/>
    <w:rsid w:val="0079574F"/>
    <w:rsid w:val="00795FAC"/>
    <w:rsid w:val="00797856"/>
    <w:rsid w:val="00797DB9"/>
    <w:rsid w:val="007A0E12"/>
    <w:rsid w:val="007A1944"/>
    <w:rsid w:val="007A28BB"/>
    <w:rsid w:val="007A29D9"/>
    <w:rsid w:val="007A6027"/>
    <w:rsid w:val="007A63D0"/>
    <w:rsid w:val="007A76AD"/>
    <w:rsid w:val="007A7B42"/>
    <w:rsid w:val="007B0BF0"/>
    <w:rsid w:val="007B0D72"/>
    <w:rsid w:val="007B133C"/>
    <w:rsid w:val="007B1CB2"/>
    <w:rsid w:val="007B20A7"/>
    <w:rsid w:val="007B231F"/>
    <w:rsid w:val="007B2511"/>
    <w:rsid w:val="007B2DDD"/>
    <w:rsid w:val="007B3040"/>
    <w:rsid w:val="007B413C"/>
    <w:rsid w:val="007B52CC"/>
    <w:rsid w:val="007B54E6"/>
    <w:rsid w:val="007B69A0"/>
    <w:rsid w:val="007B6F1F"/>
    <w:rsid w:val="007B77CA"/>
    <w:rsid w:val="007C00A6"/>
    <w:rsid w:val="007C128E"/>
    <w:rsid w:val="007C132A"/>
    <w:rsid w:val="007C2C69"/>
    <w:rsid w:val="007C2D2D"/>
    <w:rsid w:val="007C2D9D"/>
    <w:rsid w:val="007C3172"/>
    <w:rsid w:val="007C350A"/>
    <w:rsid w:val="007C39AF"/>
    <w:rsid w:val="007C441D"/>
    <w:rsid w:val="007C4F5D"/>
    <w:rsid w:val="007C5FD6"/>
    <w:rsid w:val="007C6007"/>
    <w:rsid w:val="007C7C47"/>
    <w:rsid w:val="007D039F"/>
    <w:rsid w:val="007D13CD"/>
    <w:rsid w:val="007D2706"/>
    <w:rsid w:val="007D317F"/>
    <w:rsid w:val="007D339E"/>
    <w:rsid w:val="007D3D6F"/>
    <w:rsid w:val="007D4167"/>
    <w:rsid w:val="007D4793"/>
    <w:rsid w:val="007D5964"/>
    <w:rsid w:val="007D67AD"/>
    <w:rsid w:val="007D757B"/>
    <w:rsid w:val="007D79CB"/>
    <w:rsid w:val="007E0A4D"/>
    <w:rsid w:val="007E1174"/>
    <w:rsid w:val="007E212A"/>
    <w:rsid w:val="007E2218"/>
    <w:rsid w:val="007E276C"/>
    <w:rsid w:val="007E379B"/>
    <w:rsid w:val="007E41B8"/>
    <w:rsid w:val="007E4811"/>
    <w:rsid w:val="007E5142"/>
    <w:rsid w:val="007E6301"/>
    <w:rsid w:val="007E6D05"/>
    <w:rsid w:val="007E6E54"/>
    <w:rsid w:val="007E6F35"/>
    <w:rsid w:val="007E79C1"/>
    <w:rsid w:val="007E7CBD"/>
    <w:rsid w:val="007E7CCE"/>
    <w:rsid w:val="007E7E6F"/>
    <w:rsid w:val="007F0048"/>
    <w:rsid w:val="007F03A7"/>
    <w:rsid w:val="007F081D"/>
    <w:rsid w:val="007F0D81"/>
    <w:rsid w:val="007F1121"/>
    <w:rsid w:val="007F2869"/>
    <w:rsid w:val="007F3B55"/>
    <w:rsid w:val="007F4150"/>
    <w:rsid w:val="007F41FC"/>
    <w:rsid w:val="007F4607"/>
    <w:rsid w:val="007F58F3"/>
    <w:rsid w:val="007F5D53"/>
    <w:rsid w:val="007F5F45"/>
    <w:rsid w:val="007F5FC1"/>
    <w:rsid w:val="007F60D2"/>
    <w:rsid w:val="007F70C4"/>
    <w:rsid w:val="007F7AAF"/>
    <w:rsid w:val="008009EB"/>
    <w:rsid w:val="00800DE9"/>
    <w:rsid w:val="0080148B"/>
    <w:rsid w:val="00801595"/>
    <w:rsid w:val="00801ED3"/>
    <w:rsid w:val="008033FE"/>
    <w:rsid w:val="008042D2"/>
    <w:rsid w:val="008045DD"/>
    <w:rsid w:val="00805E20"/>
    <w:rsid w:val="00806395"/>
    <w:rsid w:val="00806437"/>
    <w:rsid w:val="00806F6E"/>
    <w:rsid w:val="00807C0D"/>
    <w:rsid w:val="008108AE"/>
    <w:rsid w:val="008110EA"/>
    <w:rsid w:val="00811871"/>
    <w:rsid w:val="00811918"/>
    <w:rsid w:val="00812388"/>
    <w:rsid w:val="008148F9"/>
    <w:rsid w:val="00814CD6"/>
    <w:rsid w:val="00815273"/>
    <w:rsid w:val="008158F9"/>
    <w:rsid w:val="00815E57"/>
    <w:rsid w:val="00815EEA"/>
    <w:rsid w:val="008164F7"/>
    <w:rsid w:val="00816E96"/>
    <w:rsid w:val="00816F25"/>
    <w:rsid w:val="00817680"/>
    <w:rsid w:val="00817B06"/>
    <w:rsid w:val="00817B8C"/>
    <w:rsid w:val="00817CE7"/>
    <w:rsid w:val="0082130E"/>
    <w:rsid w:val="00821D0B"/>
    <w:rsid w:val="0082236A"/>
    <w:rsid w:val="008229EE"/>
    <w:rsid w:val="008231BF"/>
    <w:rsid w:val="008243A0"/>
    <w:rsid w:val="00824582"/>
    <w:rsid w:val="00824CB0"/>
    <w:rsid w:val="00824E0D"/>
    <w:rsid w:val="0082640F"/>
    <w:rsid w:val="00831DDF"/>
    <w:rsid w:val="00833B00"/>
    <w:rsid w:val="00835407"/>
    <w:rsid w:val="0083661B"/>
    <w:rsid w:val="008373B3"/>
    <w:rsid w:val="00837DD8"/>
    <w:rsid w:val="00840CA8"/>
    <w:rsid w:val="00840CF2"/>
    <w:rsid w:val="00840DA0"/>
    <w:rsid w:val="008416F8"/>
    <w:rsid w:val="00841942"/>
    <w:rsid w:val="008423FC"/>
    <w:rsid w:val="008437DF"/>
    <w:rsid w:val="00843B7D"/>
    <w:rsid w:val="00843D6D"/>
    <w:rsid w:val="00845706"/>
    <w:rsid w:val="00845E65"/>
    <w:rsid w:val="00846175"/>
    <w:rsid w:val="00846816"/>
    <w:rsid w:val="00846CA7"/>
    <w:rsid w:val="0084771A"/>
    <w:rsid w:val="00847DC9"/>
    <w:rsid w:val="0085158A"/>
    <w:rsid w:val="008529D4"/>
    <w:rsid w:val="008541DB"/>
    <w:rsid w:val="00855CDE"/>
    <w:rsid w:val="008566ED"/>
    <w:rsid w:val="00856B45"/>
    <w:rsid w:val="00857539"/>
    <w:rsid w:val="0086037E"/>
    <w:rsid w:val="00860474"/>
    <w:rsid w:val="00860782"/>
    <w:rsid w:val="00860B58"/>
    <w:rsid w:val="00861EFB"/>
    <w:rsid w:val="00861FFC"/>
    <w:rsid w:val="008624C8"/>
    <w:rsid w:val="008625BC"/>
    <w:rsid w:val="00863691"/>
    <w:rsid w:val="00864E13"/>
    <w:rsid w:val="00865B91"/>
    <w:rsid w:val="0086601D"/>
    <w:rsid w:val="0086661F"/>
    <w:rsid w:val="00866B9A"/>
    <w:rsid w:val="00866F8A"/>
    <w:rsid w:val="00867069"/>
    <w:rsid w:val="008677F4"/>
    <w:rsid w:val="008678C6"/>
    <w:rsid w:val="00870C48"/>
    <w:rsid w:val="00872031"/>
    <w:rsid w:val="00872F2C"/>
    <w:rsid w:val="0087314A"/>
    <w:rsid w:val="00873C2D"/>
    <w:rsid w:val="00874D8D"/>
    <w:rsid w:val="008756D4"/>
    <w:rsid w:val="0088116E"/>
    <w:rsid w:val="008814B6"/>
    <w:rsid w:val="00881E75"/>
    <w:rsid w:val="00884EDF"/>
    <w:rsid w:val="00884FE4"/>
    <w:rsid w:val="008858D7"/>
    <w:rsid w:val="00886BE4"/>
    <w:rsid w:val="00886D79"/>
    <w:rsid w:val="00886EFB"/>
    <w:rsid w:val="00887362"/>
    <w:rsid w:val="0089001A"/>
    <w:rsid w:val="008910B5"/>
    <w:rsid w:val="0089120A"/>
    <w:rsid w:val="00891395"/>
    <w:rsid w:val="00891454"/>
    <w:rsid w:val="008917E8"/>
    <w:rsid w:val="00891BF2"/>
    <w:rsid w:val="00891ECF"/>
    <w:rsid w:val="008920F0"/>
    <w:rsid w:val="008930EF"/>
    <w:rsid w:val="0089393A"/>
    <w:rsid w:val="00895C36"/>
    <w:rsid w:val="00896EC6"/>
    <w:rsid w:val="00897417"/>
    <w:rsid w:val="008976DE"/>
    <w:rsid w:val="0089773B"/>
    <w:rsid w:val="00897B7E"/>
    <w:rsid w:val="008A0099"/>
    <w:rsid w:val="008A038D"/>
    <w:rsid w:val="008A12B1"/>
    <w:rsid w:val="008A1779"/>
    <w:rsid w:val="008A1F97"/>
    <w:rsid w:val="008A239D"/>
    <w:rsid w:val="008A3225"/>
    <w:rsid w:val="008A3F2B"/>
    <w:rsid w:val="008A3F53"/>
    <w:rsid w:val="008A48B3"/>
    <w:rsid w:val="008A5853"/>
    <w:rsid w:val="008A5E23"/>
    <w:rsid w:val="008A7678"/>
    <w:rsid w:val="008B0561"/>
    <w:rsid w:val="008B077C"/>
    <w:rsid w:val="008B0A61"/>
    <w:rsid w:val="008B0FEA"/>
    <w:rsid w:val="008B103A"/>
    <w:rsid w:val="008B172F"/>
    <w:rsid w:val="008B1B6A"/>
    <w:rsid w:val="008B1BA4"/>
    <w:rsid w:val="008B1F7D"/>
    <w:rsid w:val="008B42C1"/>
    <w:rsid w:val="008B49F7"/>
    <w:rsid w:val="008B53D2"/>
    <w:rsid w:val="008B5EAA"/>
    <w:rsid w:val="008C0488"/>
    <w:rsid w:val="008C251C"/>
    <w:rsid w:val="008C36AA"/>
    <w:rsid w:val="008C3CA2"/>
    <w:rsid w:val="008C5347"/>
    <w:rsid w:val="008C68A4"/>
    <w:rsid w:val="008C7C0E"/>
    <w:rsid w:val="008D0218"/>
    <w:rsid w:val="008D14C2"/>
    <w:rsid w:val="008D417B"/>
    <w:rsid w:val="008D456B"/>
    <w:rsid w:val="008D4603"/>
    <w:rsid w:val="008D4774"/>
    <w:rsid w:val="008D4C10"/>
    <w:rsid w:val="008D5720"/>
    <w:rsid w:val="008D7432"/>
    <w:rsid w:val="008D750C"/>
    <w:rsid w:val="008D75C0"/>
    <w:rsid w:val="008E0B62"/>
    <w:rsid w:val="008E0C1D"/>
    <w:rsid w:val="008E0EFB"/>
    <w:rsid w:val="008E1398"/>
    <w:rsid w:val="008E1949"/>
    <w:rsid w:val="008E203E"/>
    <w:rsid w:val="008E2306"/>
    <w:rsid w:val="008E2558"/>
    <w:rsid w:val="008E35BB"/>
    <w:rsid w:val="008E3705"/>
    <w:rsid w:val="008E3CF8"/>
    <w:rsid w:val="008E41FF"/>
    <w:rsid w:val="008E42F0"/>
    <w:rsid w:val="008E4FDA"/>
    <w:rsid w:val="008E528B"/>
    <w:rsid w:val="008E6051"/>
    <w:rsid w:val="008E6D7B"/>
    <w:rsid w:val="008E7C7D"/>
    <w:rsid w:val="008F0052"/>
    <w:rsid w:val="008F0590"/>
    <w:rsid w:val="008F0858"/>
    <w:rsid w:val="008F0A8E"/>
    <w:rsid w:val="008F0E6B"/>
    <w:rsid w:val="008F1B1B"/>
    <w:rsid w:val="008F3007"/>
    <w:rsid w:val="008F6E2C"/>
    <w:rsid w:val="008F74EB"/>
    <w:rsid w:val="008F767D"/>
    <w:rsid w:val="008F7696"/>
    <w:rsid w:val="009006A6"/>
    <w:rsid w:val="009007C5"/>
    <w:rsid w:val="00900A10"/>
    <w:rsid w:val="009011FC"/>
    <w:rsid w:val="009019B6"/>
    <w:rsid w:val="00901B4C"/>
    <w:rsid w:val="009023D7"/>
    <w:rsid w:val="00903053"/>
    <w:rsid w:val="00903668"/>
    <w:rsid w:val="009043D4"/>
    <w:rsid w:val="0090492E"/>
    <w:rsid w:val="00904E25"/>
    <w:rsid w:val="009066FA"/>
    <w:rsid w:val="00906EBD"/>
    <w:rsid w:val="00913DF7"/>
    <w:rsid w:val="0091413B"/>
    <w:rsid w:val="009149B2"/>
    <w:rsid w:val="00914ACF"/>
    <w:rsid w:val="00915CA5"/>
    <w:rsid w:val="00917682"/>
    <w:rsid w:val="00920847"/>
    <w:rsid w:val="009214E8"/>
    <w:rsid w:val="00922967"/>
    <w:rsid w:val="00923260"/>
    <w:rsid w:val="009233CE"/>
    <w:rsid w:val="009234AA"/>
    <w:rsid w:val="0092427B"/>
    <w:rsid w:val="009250F2"/>
    <w:rsid w:val="00925786"/>
    <w:rsid w:val="00925BC5"/>
    <w:rsid w:val="0092692B"/>
    <w:rsid w:val="00926CEB"/>
    <w:rsid w:val="00926D24"/>
    <w:rsid w:val="00930EB8"/>
    <w:rsid w:val="009314E4"/>
    <w:rsid w:val="009319D1"/>
    <w:rsid w:val="009322DA"/>
    <w:rsid w:val="00933E11"/>
    <w:rsid w:val="0093548D"/>
    <w:rsid w:val="009374C3"/>
    <w:rsid w:val="00940316"/>
    <w:rsid w:val="0094039E"/>
    <w:rsid w:val="00940784"/>
    <w:rsid w:val="00941116"/>
    <w:rsid w:val="00941859"/>
    <w:rsid w:val="00941D89"/>
    <w:rsid w:val="009427BB"/>
    <w:rsid w:val="00942B5C"/>
    <w:rsid w:val="009434CE"/>
    <w:rsid w:val="009440C2"/>
    <w:rsid w:val="00944A5E"/>
    <w:rsid w:val="00945802"/>
    <w:rsid w:val="0094590C"/>
    <w:rsid w:val="00945FE7"/>
    <w:rsid w:val="00947068"/>
    <w:rsid w:val="00947B62"/>
    <w:rsid w:val="00950183"/>
    <w:rsid w:val="00950187"/>
    <w:rsid w:val="00951189"/>
    <w:rsid w:val="00951288"/>
    <w:rsid w:val="0095183F"/>
    <w:rsid w:val="00952D2F"/>
    <w:rsid w:val="00952D7D"/>
    <w:rsid w:val="00953BF4"/>
    <w:rsid w:val="00956CB8"/>
    <w:rsid w:val="009570AB"/>
    <w:rsid w:val="0095727A"/>
    <w:rsid w:val="00957533"/>
    <w:rsid w:val="00957F9E"/>
    <w:rsid w:val="00960C43"/>
    <w:rsid w:val="00962808"/>
    <w:rsid w:val="009643C6"/>
    <w:rsid w:val="00964D48"/>
    <w:rsid w:val="00965C14"/>
    <w:rsid w:val="009666C6"/>
    <w:rsid w:val="00966794"/>
    <w:rsid w:val="0096747B"/>
    <w:rsid w:val="00967A4D"/>
    <w:rsid w:val="0097021E"/>
    <w:rsid w:val="009715B2"/>
    <w:rsid w:val="00972C27"/>
    <w:rsid w:val="00973158"/>
    <w:rsid w:val="0097512B"/>
    <w:rsid w:val="009758E7"/>
    <w:rsid w:val="00975F6A"/>
    <w:rsid w:val="0097746B"/>
    <w:rsid w:val="009778E3"/>
    <w:rsid w:val="00981250"/>
    <w:rsid w:val="0098149C"/>
    <w:rsid w:val="00982A7B"/>
    <w:rsid w:val="00984269"/>
    <w:rsid w:val="00984D3D"/>
    <w:rsid w:val="0098689D"/>
    <w:rsid w:val="00987858"/>
    <w:rsid w:val="00992A28"/>
    <w:rsid w:val="0099392F"/>
    <w:rsid w:val="00993E81"/>
    <w:rsid w:val="00996AE9"/>
    <w:rsid w:val="00997611"/>
    <w:rsid w:val="009A0014"/>
    <w:rsid w:val="009A03E4"/>
    <w:rsid w:val="009A1462"/>
    <w:rsid w:val="009A1840"/>
    <w:rsid w:val="009A293D"/>
    <w:rsid w:val="009A2BD8"/>
    <w:rsid w:val="009A58FF"/>
    <w:rsid w:val="009A6495"/>
    <w:rsid w:val="009A6DB6"/>
    <w:rsid w:val="009A7F11"/>
    <w:rsid w:val="009B007C"/>
    <w:rsid w:val="009B032A"/>
    <w:rsid w:val="009B0B24"/>
    <w:rsid w:val="009B0FB7"/>
    <w:rsid w:val="009B1026"/>
    <w:rsid w:val="009B153B"/>
    <w:rsid w:val="009B28A0"/>
    <w:rsid w:val="009B38DC"/>
    <w:rsid w:val="009B40AE"/>
    <w:rsid w:val="009B4B27"/>
    <w:rsid w:val="009B55AF"/>
    <w:rsid w:val="009B5FEE"/>
    <w:rsid w:val="009B62C6"/>
    <w:rsid w:val="009B75EE"/>
    <w:rsid w:val="009C0472"/>
    <w:rsid w:val="009C0AD5"/>
    <w:rsid w:val="009C0B86"/>
    <w:rsid w:val="009C0FBD"/>
    <w:rsid w:val="009C28C1"/>
    <w:rsid w:val="009C50D1"/>
    <w:rsid w:val="009C54B8"/>
    <w:rsid w:val="009C56CD"/>
    <w:rsid w:val="009C56FF"/>
    <w:rsid w:val="009C5751"/>
    <w:rsid w:val="009C57E4"/>
    <w:rsid w:val="009C5D53"/>
    <w:rsid w:val="009C68F8"/>
    <w:rsid w:val="009C7722"/>
    <w:rsid w:val="009C7873"/>
    <w:rsid w:val="009C7C4E"/>
    <w:rsid w:val="009D0AF9"/>
    <w:rsid w:val="009D0C3B"/>
    <w:rsid w:val="009D23B1"/>
    <w:rsid w:val="009D26F1"/>
    <w:rsid w:val="009D37FA"/>
    <w:rsid w:val="009D5E0B"/>
    <w:rsid w:val="009D5EC9"/>
    <w:rsid w:val="009D6528"/>
    <w:rsid w:val="009D6853"/>
    <w:rsid w:val="009D6978"/>
    <w:rsid w:val="009D6B42"/>
    <w:rsid w:val="009D6E7F"/>
    <w:rsid w:val="009D6EB7"/>
    <w:rsid w:val="009D7F13"/>
    <w:rsid w:val="009E0546"/>
    <w:rsid w:val="009E0595"/>
    <w:rsid w:val="009E13E4"/>
    <w:rsid w:val="009E14D1"/>
    <w:rsid w:val="009E180B"/>
    <w:rsid w:val="009E1C4A"/>
    <w:rsid w:val="009E1F40"/>
    <w:rsid w:val="009E1FDE"/>
    <w:rsid w:val="009E2B87"/>
    <w:rsid w:val="009E2CAA"/>
    <w:rsid w:val="009E4767"/>
    <w:rsid w:val="009E49D2"/>
    <w:rsid w:val="009E4C15"/>
    <w:rsid w:val="009E671E"/>
    <w:rsid w:val="009E7EA4"/>
    <w:rsid w:val="009F01FF"/>
    <w:rsid w:val="009F2212"/>
    <w:rsid w:val="009F254A"/>
    <w:rsid w:val="009F2845"/>
    <w:rsid w:val="009F2A97"/>
    <w:rsid w:val="009F382B"/>
    <w:rsid w:val="009F3E0F"/>
    <w:rsid w:val="009F57CC"/>
    <w:rsid w:val="009F5A4C"/>
    <w:rsid w:val="009F6226"/>
    <w:rsid w:val="009F721D"/>
    <w:rsid w:val="009F7E0D"/>
    <w:rsid w:val="009F7EED"/>
    <w:rsid w:val="00A00815"/>
    <w:rsid w:val="00A00DFC"/>
    <w:rsid w:val="00A034E3"/>
    <w:rsid w:val="00A0351F"/>
    <w:rsid w:val="00A03B34"/>
    <w:rsid w:val="00A04866"/>
    <w:rsid w:val="00A05725"/>
    <w:rsid w:val="00A05B6D"/>
    <w:rsid w:val="00A05E3D"/>
    <w:rsid w:val="00A078F5"/>
    <w:rsid w:val="00A07E2F"/>
    <w:rsid w:val="00A07E6C"/>
    <w:rsid w:val="00A10FE7"/>
    <w:rsid w:val="00A11416"/>
    <w:rsid w:val="00A12117"/>
    <w:rsid w:val="00A12148"/>
    <w:rsid w:val="00A137A6"/>
    <w:rsid w:val="00A15198"/>
    <w:rsid w:val="00A15979"/>
    <w:rsid w:val="00A1643A"/>
    <w:rsid w:val="00A171EE"/>
    <w:rsid w:val="00A17BE5"/>
    <w:rsid w:val="00A200A6"/>
    <w:rsid w:val="00A21E08"/>
    <w:rsid w:val="00A22268"/>
    <w:rsid w:val="00A2276A"/>
    <w:rsid w:val="00A24100"/>
    <w:rsid w:val="00A243CD"/>
    <w:rsid w:val="00A24E2A"/>
    <w:rsid w:val="00A25435"/>
    <w:rsid w:val="00A25958"/>
    <w:rsid w:val="00A2651D"/>
    <w:rsid w:val="00A26638"/>
    <w:rsid w:val="00A300AF"/>
    <w:rsid w:val="00A30FBA"/>
    <w:rsid w:val="00A31054"/>
    <w:rsid w:val="00A3112A"/>
    <w:rsid w:val="00A315E2"/>
    <w:rsid w:val="00A31C5B"/>
    <w:rsid w:val="00A32ADC"/>
    <w:rsid w:val="00A33387"/>
    <w:rsid w:val="00A33C1D"/>
    <w:rsid w:val="00A3425F"/>
    <w:rsid w:val="00A3490A"/>
    <w:rsid w:val="00A35ECD"/>
    <w:rsid w:val="00A36210"/>
    <w:rsid w:val="00A37974"/>
    <w:rsid w:val="00A37A28"/>
    <w:rsid w:val="00A40127"/>
    <w:rsid w:val="00A406F6"/>
    <w:rsid w:val="00A40B7C"/>
    <w:rsid w:val="00A40C53"/>
    <w:rsid w:val="00A4172D"/>
    <w:rsid w:val="00A41D08"/>
    <w:rsid w:val="00A420D7"/>
    <w:rsid w:val="00A44A4F"/>
    <w:rsid w:val="00A44B19"/>
    <w:rsid w:val="00A44D1F"/>
    <w:rsid w:val="00A45AEB"/>
    <w:rsid w:val="00A46233"/>
    <w:rsid w:val="00A46410"/>
    <w:rsid w:val="00A46F60"/>
    <w:rsid w:val="00A472AB"/>
    <w:rsid w:val="00A47D19"/>
    <w:rsid w:val="00A50353"/>
    <w:rsid w:val="00A50739"/>
    <w:rsid w:val="00A50E76"/>
    <w:rsid w:val="00A51137"/>
    <w:rsid w:val="00A51188"/>
    <w:rsid w:val="00A514F0"/>
    <w:rsid w:val="00A518F3"/>
    <w:rsid w:val="00A51A57"/>
    <w:rsid w:val="00A51B4C"/>
    <w:rsid w:val="00A51FDD"/>
    <w:rsid w:val="00A5272A"/>
    <w:rsid w:val="00A52773"/>
    <w:rsid w:val="00A52A1B"/>
    <w:rsid w:val="00A52CDC"/>
    <w:rsid w:val="00A536CB"/>
    <w:rsid w:val="00A53E8E"/>
    <w:rsid w:val="00A54E66"/>
    <w:rsid w:val="00A562F3"/>
    <w:rsid w:val="00A57170"/>
    <w:rsid w:val="00A60862"/>
    <w:rsid w:val="00A63EB3"/>
    <w:rsid w:val="00A64E31"/>
    <w:rsid w:val="00A64F15"/>
    <w:rsid w:val="00A65074"/>
    <w:rsid w:val="00A67449"/>
    <w:rsid w:val="00A6761E"/>
    <w:rsid w:val="00A67C63"/>
    <w:rsid w:val="00A70048"/>
    <w:rsid w:val="00A700D6"/>
    <w:rsid w:val="00A70771"/>
    <w:rsid w:val="00A729BF"/>
    <w:rsid w:val="00A73E22"/>
    <w:rsid w:val="00A73E55"/>
    <w:rsid w:val="00A7460D"/>
    <w:rsid w:val="00A758CF"/>
    <w:rsid w:val="00A77C12"/>
    <w:rsid w:val="00A819D2"/>
    <w:rsid w:val="00A81AAF"/>
    <w:rsid w:val="00A81FBD"/>
    <w:rsid w:val="00A82EEA"/>
    <w:rsid w:val="00A84557"/>
    <w:rsid w:val="00A8761A"/>
    <w:rsid w:val="00A87747"/>
    <w:rsid w:val="00A906B9"/>
    <w:rsid w:val="00A910BA"/>
    <w:rsid w:val="00A919FA"/>
    <w:rsid w:val="00A91EA8"/>
    <w:rsid w:val="00A92412"/>
    <w:rsid w:val="00A92675"/>
    <w:rsid w:val="00A931C6"/>
    <w:rsid w:val="00A967B3"/>
    <w:rsid w:val="00A96A56"/>
    <w:rsid w:val="00A96E01"/>
    <w:rsid w:val="00A96F36"/>
    <w:rsid w:val="00A97028"/>
    <w:rsid w:val="00A9705F"/>
    <w:rsid w:val="00A97B0F"/>
    <w:rsid w:val="00A97B68"/>
    <w:rsid w:val="00A97CF1"/>
    <w:rsid w:val="00AA0568"/>
    <w:rsid w:val="00AA11D7"/>
    <w:rsid w:val="00AA1E4E"/>
    <w:rsid w:val="00AA3C74"/>
    <w:rsid w:val="00AA3E6B"/>
    <w:rsid w:val="00AA4F49"/>
    <w:rsid w:val="00AA65B6"/>
    <w:rsid w:val="00AA6DA6"/>
    <w:rsid w:val="00AA7C97"/>
    <w:rsid w:val="00AB14C0"/>
    <w:rsid w:val="00AB183A"/>
    <w:rsid w:val="00AB1C0D"/>
    <w:rsid w:val="00AB29A6"/>
    <w:rsid w:val="00AB2AE3"/>
    <w:rsid w:val="00AB382C"/>
    <w:rsid w:val="00AB3882"/>
    <w:rsid w:val="00AB3CCC"/>
    <w:rsid w:val="00AB3FB7"/>
    <w:rsid w:val="00AB4031"/>
    <w:rsid w:val="00AB610E"/>
    <w:rsid w:val="00AB75E7"/>
    <w:rsid w:val="00AC2256"/>
    <w:rsid w:val="00AC3653"/>
    <w:rsid w:val="00AC3B8C"/>
    <w:rsid w:val="00AC4044"/>
    <w:rsid w:val="00AC43FD"/>
    <w:rsid w:val="00AC4900"/>
    <w:rsid w:val="00AC4939"/>
    <w:rsid w:val="00AC4EF8"/>
    <w:rsid w:val="00AC5020"/>
    <w:rsid w:val="00AC7096"/>
    <w:rsid w:val="00AC739B"/>
    <w:rsid w:val="00AD0231"/>
    <w:rsid w:val="00AD173B"/>
    <w:rsid w:val="00AD1766"/>
    <w:rsid w:val="00AD1B09"/>
    <w:rsid w:val="00AD1E52"/>
    <w:rsid w:val="00AD25A6"/>
    <w:rsid w:val="00AD2C56"/>
    <w:rsid w:val="00AD37F3"/>
    <w:rsid w:val="00AD39F5"/>
    <w:rsid w:val="00AD40BD"/>
    <w:rsid w:val="00AD4AC4"/>
    <w:rsid w:val="00AD64CE"/>
    <w:rsid w:val="00AD6627"/>
    <w:rsid w:val="00AD7414"/>
    <w:rsid w:val="00AE02D6"/>
    <w:rsid w:val="00AE10ED"/>
    <w:rsid w:val="00AE2413"/>
    <w:rsid w:val="00AE291F"/>
    <w:rsid w:val="00AE3188"/>
    <w:rsid w:val="00AE3D87"/>
    <w:rsid w:val="00AE3F8E"/>
    <w:rsid w:val="00AE5502"/>
    <w:rsid w:val="00AE5C37"/>
    <w:rsid w:val="00AE607E"/>
    <w:rsid w:val="00AE6628"/>
    <w:rsid w:val="00AE7059"/>
    <w:rsid w:val="00AE79A6"/>
    <w:rsid w:val="00AE7C79"/>
    <w:rsid w:val="00AE7D50"/>
    <w:rsid w:val="00AE7E3C"/>
    <w:rsid w:val="00AF030B"/>
    <w:rsid w:val="00AF117A"/>
    <w:rsid w:val="00AF26AA"/>
    <w:rsid w:val="00AF3353"/>
    <w:rsid w:val="00AF33F3"/>
    <w:rsid w:val="00AF55EF"/>
    <w:rsid w:val="00AF5E04"/>
    <w:rsid w:val="00AF718F"/>
    <w:rsid w:val="00B0086C"/>
    <w:rsid w:val="00B00D9F"/>
    <w:rsid w:val="00B04ECD"/>
    <w:rsid w:val="00B0537F"/>
    <w:rsid w:val="00B054F4"/>
    <w:rsid w:val="00B0587E"/>
    <w:rsid w:val="00B060F3"/>
    <w:rsid w:val="00B07FE6"/>
    <w:rsid w:val="00B11C5D"/>
    <w:rsid w:val="00B11F4F"/>
    <w:rsid w:val="00B1263F"/>
    <w:rsid w:val="00B138A8"/>
    <w:rsid w:val="00B138CA"/>
    <w:rsid w:val="00B13A60"/>
    <w:rsid w:val="00B142C8"/>
    <w:rsid w:val="00B147B1"/>
    <w:rsid w:val="00B1526D"/>
    <w:rsid w:val="00B16726"/>
    <w:rsid w:val="00B17044"/>
    <w:rsid w:val="00B17629"/>
    <w:rsid w:val="00B17E74"/>
    <w:rsid w:val="00B20440"/>
    <w:rsid w:val="00B216E2"/>
    <w:rsid w:val="00B21CAD"/>
    <w:rsid w:val="00B23B28"/>
    <w:rsid w:val="00B243B2"/>
    <w:rsid w:val="00B249C6"/>
    <w:rsid w:val="00B24CA0"/>
    <w:rsid w:val="00B25453"/>
    <w:rsid w:val="00B2579F"/>
    <w:rsid w:val="00B2585C"/>
    <w:rsid w:val="00B26CA6"/>
    <w:rsid w:val="00B27490"/>
    <w:rsid w:val="00B27857"/>
    <w:rsid w:val="00B27D15"/>
    <w:rsid w:val="00B30EF9"/>
    <w:rsid w:val="00B3174A"/>
    <w:rsid w:val="00B319A2"/>
    <w:rsid w:val="00B32084"/>
    <w:rsid w:val="00B32871"/>
    <w:rsid w:val="00B32EC1"/>
    <w:rsid w:val="00B34710"/>
    <w:rsid w:val="00B35F43"/>
    <w:rsid w:val="00B3601B"/>
    <w:rsid w:val="00B36596"/>
    <w:rsid w:val="00B36709"/>
    <w:rsid w:val="00B3768D"/>
    <w:rsid w:val="00B4040D"/>
    <w:rsid w:val="00B404A7"/>
    <w:rsid w:val="00B4128B"/>
    <w:rsid w:val="00B44153"/>
    <w:rsid w:val="00B45840"/>
    <w:rsid w:val="00B45E62"/>
    <w:rsid w:val="00B45EF8"/>
    <w:rsid w:val="00B46490"/>
    <w:rsid w:val="00B46723"/>
    <w:rsid w:val="00B4746A"/>
    <w:rsid w:val="00B47D24"/>
    <w:rsid w:val="00B47DA9"/>
    <w:rsid w:val="00B50C87"/>
    <w:rsid w:val="00B528EF"/>
    <w:rsid w:val="00B52A9C"/>
    <w:rsid w:val="00B52EEF"/>
    <w:rsid w:val="00B531F0"/>
    <w:rsid w:val="00B53971"/>
    <w:rsid w:val="00B546CA"/>
    <w:rsid w:val="00B54AEC"/>
    <w:rsid w:val="00B54DBE"/>
    <w:rsid w:val="00B57E6E"/>
    <w:rsid w:val="00B57FDD"/>
    <w:rsid w:val="00B60F06"/>
    <w:rsid w:val="00B6113B"/>
    <w:rsid w:val="00B63FBB"/>
    <w:rsid w:val="00B646B3"/>
    <w:rsid w:val="00B66905"/>
    <w:rsid w:val="00B6703F"/>
    <w:rsid w:val="00B705FE"/>
    <w:rsid w:val="00B72453"/>
    <w:rsid w:val="00B72E54"/>
    <w:rsid w:val="00B7379B"/>
    <w:rsid w:val="00B737DD"/>
    <w:rsid w:val="00B763ED"/>
    <w:rsid w:val="00B765C3"/>
    <w:rsid w:val="00B77E62"/>
    <w:rsid w:val="00B77EA8"/>
    <w:rsid w:val="00B80503"/>
    <w:rsid w:val="00B80F13"/>
    <w:rsid w:val="00B81DAF"/>
    <w:rsid w:val="00B828DC"/>
    <w:rsid w:val="00B83113"/>
    <w:rsid w:val="00B8341C"/>
    <w:rsid w:val="00B84B7F"/>
    <w:rsid w:val="00B85208"/>
    <w:rsid w:val="00B85961"/>
    <w:rsid w:val="00B86CF2"/>
    <w:rsid w:val="00B91E47"/>
    <w:rsid w:val="00B922FF"/>
    <w:rsid w:val="00B93342"/>
    <w:rsid w:val="00B93A38"/>
    <w:rsid w:val="00B946E7"/>
    <w:rsid w:val="00B94A27"/>
    <w:rsid w:val="00B94BF7"/>
    <w:rsid w:val="00B94D50"/>
    <w:rsid w:val="00B9554F"/>
    <w:rsid w:val="00B960C5"/>
    <w:rsid w:val="00B966FD"/>
    <w:rsid w:val="00B96CFE"/>
    <w:rsid w:val="00B9710F"/>
    <w:rsid w:val="00B97572"/>
    <w:rsid w:val="00B97CA1"/>
    <w:rsid w:val="00BA04AA"/>
    <w:rsid w:val="00BA1E15"/>
    <w:rsid w:val="00BA2150"/>
    <w:rsid w:val="00BA285C"/>
    <w:rsid w:val="00BA307F"/>
    <w:rsid w:val="00BA4706"/>
    <w:rsid w:val="00BA4F49"/>
    <w:rsid w:val="00BA5401"/>
    <w:rsid w:val="00BA7404"/>
    <w:rsid w:val="00BA7CDF"/>
    <w:rsid w:val="00BB00B1"/>
    <w:rsid w:val="00BB1777"/>
    <w:rsid w:val="00BB1AD4"/>
    <w:rsid w:val="00BB2BF8"/>
    <w:rsid w:val="00BB373E"/>
    <w:rsid w:val="00BB399D"/>
    <w:rsid w:val="00BB3A1C"/>
    <w:rsid w:val="00BB4C1C"/>
    <w:rsid w:val="00BB4E87"/>
    <w:rsid w:val="00BB4F2F"/>
    <w:rsid w:val="00BB562F"/>
    <w:rsid w:val="00BB600C"/>
    <w:rsid w:val="00BB60B2"/>
    <w:rsid w:val="00BB78B4"/>
    <w:rsid w:val="00BC010D"/>
    <w:rsid w:val="00BC1779"/>
    <w:rsid w:val="00BC1BFA"/>
    <w:rsid w:val="00BC2681"/>
    <w:rsid w:val="00BC46CC"/>
    <w:rsid w:val="00BC4745"/>
    <w:rsid w:val="00BC4EF4"/>
    <w:rsid w:val="00BC59D2"/>
    <w:rsid w:val="00BC6116"/>
    <w:rsid w:val="00BC61EC"/>
    <w:rsid w:val="00BC64E4"/>
    <w:rsid w:val="00BC65B9"/>
    <w:rsid w:val="00BC6D8D"/>
    <w:rsid w:val="00BC71DC"/>
    <w:rsid w:val="00BD0AC6"/>
    <w:rsid w:val="00BD0C6D"/>
    <w:rsid w:val="00BD0CC3"/>
    <w:rsid w:val="00BD0D50"/>
    <w:rsid w:val="00BD3783"/>
    <w:rsid w:val="00BD3D91"/>
    <w:rsid w:val="00BD4D80"/>
    <w:rsid w:val="00BD50EF"/>
    <w:rsid w:val="00BD59D4"/>
    <w:rsid w:val="00BD6748"/>
    <w:rsid w:val="00BD67EF"/>
    <w:rsid w:val="00BD6877"/>
    <w:rsid w:val="00BD71FB"/>
    <w:rsid w:val="00BE0539"/>
    <w:rsid w:val="00BE0E6E"/>
    <w:rsid w:val="00BE13AD"/>
    <w:rsid w:val="00BE15EC"/>
    <w:rsid w:val="00BE1C30"/>
    <w:rsid w:val="00BE3412"/>
    <w:rsid w:val="00BE5C64"/>
    <w:rsid w:val="00BE6196"/>
    <w:rsid w:val="00BE71CE"/>
    <w:rsid w:val="00BE798D"/>
    <w:rsid w:val="00BF1E25"/>
    <w:rsid w:val="00BF1EF4"/>
    <w:rsid w:val="00BF3A55"/>
    <w:rsid w:val="00BF3CB7"/>
    <w:rsid w:val="00BF43EE"/>
    <w:rsid w:val="00BF4A8C"/>
    <w:rsid w:val="00BF6D1A"/>
    <w:rsid w:val="00BF71F6"/>
    <w:rsid w:val="00BF746E"/>
    <w:rsid w:val="00BF786B"/>
    <w:rsid w:val="00BF7C03"/>
    <w:rsid w:val="00C0501E"/>
    <w:rsid w:val="00C06289"/>
    <w:rsid w:val="00C06F4C"/>
    <w:rsid w:val="00C07091"/>
    <w:rsid w:val="00C1010F"/>
    <w:rsid w:val="00C105EE"/>
    <w:rsid w:val="00C10B28"/>
    <w:rsid w:val="00C1110C"/>
    <w:rsid w:val="00C11263"/>
    <w:rsid w:val="00C12674"/>
    <w:rsid w:val="00C12B43"/>
    <w:rsid w:val="00C14186"/>
    <w:rsid w:val="00C1427B"/>
    <w:rsid w:val="00C16088"/>
    <w:rsid w:val="00C16E47"/>
    <w:rsid w:val="00C170B3"/>
    <w:rsid w:val="00C20E48"/>
    <w:rsid w:val="00C21CC1"/>
    <w:rsid w:val="00C22110"/>
    <w:rsid w:val="00C246F5"/>
    <w:rsid w:val="00C255B4"/>
    <w:rsid w:val="00C25A39"/>
    <w:rsid w:val="00C26CE4"/>
    <w:rsid w:val="00C3169F"/>
    <w:rsid w:val="00C318BA"/>
    <w:rsid w:val="00C31C51"/>
    <w:rsid w:val="00C31FD0"/>
    <w:rsid w:val="00C3232A"/>
    <w:rsid w:val="00C33EBA"/>
    <w:rsid w:val="00C3487B"/>
    <w:rsid w:val="00C34F0D"/>
    <w:rsid w:val="00C37CE8"/>
    <w:rsid w:val="00C40044"/>
    <w:rsid w:val="00C424EB"/>
    <w:rsid w:val="00C43737"/>
    <w:rsid w:val="00C4409E"/>
    <w:rsid w:val="00C4432F"/>
    <w:rsid w:val="00C4501A"/>
    <w:rsid w:val="00C4523A"/>
    <w:rsid w:val="00C45B40"/>
    <w:rsid w:val="00C46605"/>
    <w:rsid w:val="00C47562"/>
    <w:rsid w:val="00C476C6"/>
    <w:rsid w:val="00C50566"/>
    <w:rsid w:val="00C51029"/>
    <w:rsid w:val="00C510A8"/>
    <w:rsid w:val="00C5178F"/>
    <w:rsid w:val="00C5254F"/>
    <w:rsid w:val="00C52A59"/>
    <w:rsid w:val="00C53F40"/>
    <w:rsid w:val="00C54C21"/>
    <w:rsid w:val="00C54E17"/>
    <w:rsid w:val="00C55A12"/>
    <w:rsid w:val="00C56CA1"/>
    <w:rsid w:val="00C5763C"/>
    <w:rsid w:val="00C60571"/>
    <w:rsid w:val="00C608FE"/>
    <w:rsid w:val="00C609C3"/>
    <w:rsid w:val="00C60C44"/>
    <w:rsid w:val="00C6142F"/>
    <w:rsid w:val="00C62BD5"/>
    <w:rsid w:val="00C65460"/>
    <w:rsid w:val="00C65A6F"/>
    <w:rsid w:val="00C65ABC"/>
    <w:rsid w:val="00C65F57"/>
    <w:rsid w:val="00C669DF"/>
    <w:rsid w:val="00C66D25"/>
    <w:rsid w:val="00C67597"/>
    <w:rsid w:val="00C7062A"/>
    <w:rsid w:val="00C70664"/>
    <w:rsid w:val="00C71B40"/>
    <w:rsid w:val="00C71F15"/>
    <w:rsid w:val="00C72112"/>
    <w:rsid w:val="00C72F5E"/>
    <w:rsid w:val="00C74E21"/>
    <w:rsid w:val="00C75BB4"/>
    <w:rsid w:val="00C75BCA"/>
    <w:rsid w:val="00C7643A"/>
    <w:rsid w:val="00C7647E"/>
    <w:rsid w:val="00C81165"/>
    <w:rsid w:val="00C81A6B"/>
    <w:rsid w:val="00C81ABE"/>
    <w:rsid w:val="00C83712"/>
    <w:rsid w:val="00C84937"/>
    <w:rsid w:val="00C85DEB"/>
    <w:rsid w:val="00C90894"/>
    <w:rsid w:val="00C90D40"/>
    <w:rsid w:val="00C90D44"/>
    <w:rsid w:val="00C90DBA"/>
    <w:rsid w:val="00C91EED"/>
    <w:rsid w:val="00C93790"/>
    <w:rsid w:val="00C957F0"/>
    <w:rsid w:val="00CA05B0"/>
    <w:rsid w:val="00CA155E"/>
    <w:rsid w:val="00CA1A7B"/>
    <w:rsid w:val="00CA219C"/>
    <w:rsid w:val="00CA24AC"/>
    <w:rsid w:val="00CA3CBB"/>
    <w:rsid w:val="00CA3E33"/>
    <w:rsid w:val="00CA569E"/>
    <w:rsid w:val="00CA694A"/>
    <w:rsid w:val="00CA7653"/>
    <w:rsid w:val="00CB0CAE"/>
    <w:rsid w:val="00CB1290"/>
    <w:rsid w:val="00CB14CB"/>
    <w:rsid w:val="00CB1DE4"/>
    <w:rsid w:val="00CB25EF"/>
    <w:rsid w:val="00CB2D56"/>
    <w:rsid w:val="00CB2E6D"/>
    <w:rsid w:val="00CB2F5F"/>
    <w:rsid w:val="00CB3488"/>
    <w:rsid w:val="00CB5EBE"/>
    <w:rsid w:val="00CB6294"/>
    <w:rsid w:val="00CB638B"/>
    <w:rsid w:val="00CB63C3"/>
    <w:rsid w:val="00CB69CD"/>
    <w:rsid w:val="00CB6FD4"/>
    <w:rsid w:val="00CC1055"/>
    <w:rsid w:val="00CC13BB"/>
    <w:rsid w:val="00CC2557"/>
    <w:rsid w:val="00CC2DE7"/>
    <w:rsid w:val="00CC33EA"/>
    <w:rsid w:val="00CC391D"/>
    <w:rsid w:val="00CC3BAF"/>
    <w:rsid w:val="00CC4CDD"/>
    <w:rsid w:val="00CC4ECB"/>
    <w:rsid w:val="00CC52F0"/>
    <w:rsid w:val="00CC537C"/>
    <w:rsid w:val="00CC607E"/>
    <w:rsid w:val="00CC7F15"/>
    <w:rsid w:val="00CD0673"/>
    <w:rsid w:val="00CD1634"/>
    <w:rsid w:val="00CD1A3C"/>
    <w:rsid w:val="00CD21FE"/>
    <w:rsid w:val="00CD2393"/>
    <w:rsid w:val="00CD4DC3"/>
    <w:rsid w:val="00CD53A9"/>
    <w:rsid w:val="00CD5F1B"/>
    <w:rsid w:val="00CD6DBA"/>
    <w:rsid w:val="00CD70D2"/>
    <w:rsid w:val="00CD784F"/>
    <w:rsid w:val="00CE04D1"/>
    <w:rsid w:val="00CE2170"/>
    <w:rsid w:val="00CE28E9"/>
    <w:rsid w:val="00CE2DC4"/>
    <w:rsid w:val="00CE406A"/>
    <w:rsid w:val="00CE4448"/>
    <w:rsid w:val="00CE52E9"/>
    <w:rsid w:val="00CE5A5E"/>
    <w:rsid w:val="00CE6358"/>
    <w:rsid w:val="00CE7F83"/>
    <w:rsid w:val="00CF1B2A"/>
    <w:rsid w:val="00CF2410"/>
    <w:rsid w:val="00CF2492"/>
    <w:rsid w:val="00CF26BF"/>
    <w:rsid w:val="00CF3202"/>
    <w:rsid w:val="00CF38FE"/>
    <w:rsid w:val="00D008F5"/>
    <w:rsid w:val="00D01CCD"/>
    <w:rsid w:val="00D03A38"/>
    <w:rsid w:val="00D040B5"/>
    <w:rsid w:val="00D0458E"/>
    <w:rsid w:val="00D045DA"/>
    <w:rsid w:val="00D0500E"/>
    <w:rsid w:val="00D06AA8"/>
    <w:rsid w:val="00D07E16"/>
    <w:rsid w:val="00D10682"/>
    <w:rsid w:val="00D106FB"/>
    <w:rsid w:val="00D1196C"/>
    <w:rsid w:val="00D11EA6"/>
    <w:rsid w:val="00D120B6"/>
    <w:rsid w:val="00D12ADF"/>
    <w:rsid w:val="00D13E34"/>
    <w:rsid w:val="00D143E6"/>
    <w:rsid w:val="00D14811"/>
    <w:rsid w:val="00D16738"/>
    <w:rsid w:val="00D16E38"/>
    <w:rsid w:val="00D17801"/>
    <w:rsid w:val="00D17AF7"/>
    <w:rsid w:val="00D202BE"/>
    <w:rsid w:val="00D203EE"/>
    <w:rsid w:val="00D20953"/>
    <w:rsid w:val="00D20FE1"/>
    <w:rsid w:val="00D219A3"/>
    <w:rsid w:val="00D228A7"/>
    <w:rsid w:val="00D24553"/>
    <w:rsid w:val="00D245A5"/>
    <w:rsid w:val="00D2496E"/>
    <w:rsid w:val="00D24A08"/>
    <w:rsid w:val="00D2725F"/>
    <w:rsid w:val="00D3037F"/>
    <w:rsid w:val="00D30628"/>
    <w:rsid w:val="00D31368"/>
    <w:rsid w:val="00D318E9"/>
    <w:rsid w:val="00D32F69"/>
    <w:rsid w:val="00D33174"/>
    <w:rsid w:val="00D33574"/>
    <w:rsid w:val="00D33E20"/>
    <w:rsid w:val="00D33EF0"/>
    <w:rsid w:val="00D3449B"/>
    <w:rsid w:val="00D34A70"/>
    <w:rsid w:val="00D34E43"/>
    <w:rsid w:val="00D35714"/>
    <w:rsid w:val="00D35D11"/>
    <w:rsid w:val="00D42F82"/>
    <w:rsid w:val="00D43474"/>
    <w:rsid w:val="00D43942"/>
    <w:rsid w:val="00D439C5"/>
    <w:rsid w:val="00D4496C"/>
    <w:rsid w:val="00D455B7"/>
    <w:rsid w:val="00D45DA9"/>
    <w:rsid w:val="00D51848"/>
    <w:rsid w:val="00D51C62"/>
    <w:rsid w:val="00D532E2"/>
    <w:rsid w:val="00D5354C"/>
    <w:rsid w:val="00D5382B"/>
    <w:rsid w:val="00D5399A"/>
    <w:rsid w:val="00D53B88"/>
    <w:rsid w:val="00D55AE8"/>
    <w:rsid w:val="00D56A22"/>
    <w:rsid w:val="00D57BF8"/>
    <w:rsid w:val="00D6070A"/>
    <w:rsid w:val="00D60D38"/>
    <w:rsid w:val="00D6146B"/>
    <w:rsid w:val="00D61BD1"/>
    <w:rsid w:val="00D62672"/>
    <w:rsid w:val="00D629C4"/>
    <w:rsid w:val="00D634FA"/>
    <w:rsid w:val="00D64021"/>
    <w:rsid w:val="00D64BB9"/>
    <w:rsid w:val="00D651AB"/>
    <w:rsid w:val="00D659C7"/>
    <w:rsid w:val="00D65B8B"/>
    <w:rsid w:val="00D663F2"/>
    <w:rsid w:val="00D665B1"/>
    <w:rsid w:val="00D66B9A"/>
    <w:rsid w:val="00D677FE"/>
    <w:rsid w:val="00D702A0"/>
    <w:rsid w:val="00D70631"/>
    <w:rsid w:val="00D70A1C"/>
    <w:rsid w:val="00D70AE8"/>
    <w:rsid w:val="00D72387"/>
    <w:rsid w:val="00D72C7D"/>
    <w:rsid w:val="00D73638"/>
    <w:rsid w:val="00D73754"/>
    <w:rsid w:val="00D75262"/>
    <w:rsid w:val="00D76081"/>
    <w:rsid w:val="00D76297"/>
    <w:rsid w:val="00D7754F"/>
    <w:rsid w:val="00D7769A"/>
    <w:rsid w:val="00D777A2"/>
    <w:rsid w:val="00D77D6E"/>
    <w:rsid w:val="00D77ED9"/>
    <w:rsid w:val="00D80CA3"/>
    <w:rsid w:val="00D822B8"/>
    <w:rsid w:val="00D82693"/>
    <w:rsid w:val="00D826D6"/>
    <w:rsid w:val="00D82808"/>
    <w:rsid w:val="00D82934"/>
    <w:rsid w:val="00D82D61"/>
    <w:rsid w:val="00D83E23"/>
    <w:rsid w:val="00D842DF"/>
    <w:rsid w:val="00D8527E"/>
    <w:rsid w:val="00D85332"/>
    <w:rsid w:val="00D865D1"/>
    <w:rsid w:val="00D87AF3"/>
    <w:rsid w:val="00D90ABD"/>
    <w:rsid w:val="00D91388"/>
    <w:rsid w:val="00D93006"/>
    <w:rsid w:val="00D9344B"/>
    <w:rsid w:val="00D94740"/>
    <w:rsid w:val="00D9694F"/>
    <w:rsid w:val="00D97C97"/>
    <w:rsid w:val="00DA0C93"/>
    <w:rsid w:val="00DA14EC"/>
    <w:rsid w:val="00DA1EC1"/>
    <w:rsid w:val="00DA516D"/>
    <w:rsid w:val="00DA5FC9"/>
    <w:rsid w:val="00DA60D5"/>
    <w:rsid w:val="00DA6AF9"/>
    <w:rsid w:val="00DA6B47"/>
    <w:rsid w:val="00DA7082"/>
    <w:rsid w:val="00DB1949"/>
    <w:rsid w:val="00DB208D"/>
    <w:rsid w:val="00DB2901"/>
    <w:rsid w:val="00DB2EF8"/>
    <w:rsid w:val="00DB3B9C"/>
    <w:rsid w:val="00DB421B"/>
    <w:rsid w:val="00DB5624"/>
    <w:rsid w:val="00DB599B"/>
    <w:rsid w:val="00DB5EB8"/>
    <w:rsid w:val="00DC0134"/>
    <w:rsid w:val="00DC0C92"/>
    <w:rsid w:val="00DC134E"/>
    <w:rsid w:val="00DC190B"/>
    <w:rsid w:val="00DC44D1"/>
    <w:rsid w:val="00DC4738"/>
    <w:rsid w:val="00DC4971"/>
    <w:rsid w:val="00DC6F41"/>
    <w:rsid w:val="00DC7462"/>
    <w:rsid w:val="00DC7684"/>
    <w:rsid w:val="00DD2838"/>
    <w:rsid w:val="00DD34FE"/>
    <w:rsid w:val="00DD3A3E"/>
    <w:rsid w:val="00DD3C65"/>
    <w:rsid w:val="00DD40E3"/>
    <w:rsid w:val="00DD484D"/>
    <w:rsid w:val="00DD550B"/>
    <w:rsid w:val="00DD6084"/>
    <w:rsid w:val="00DD6197"/>
    <w:rsid w:val="00DD7008"/>
    <w:rsid w:val="00DD755B"/>
    <w:rsid w:val="00DD7D59"/>
    <w:rsid w:val="00DE0AE0"/>
    <w:rsid w:val="00DE1296"/>
    <w:rsid w:val="00DE14E0"/>
    <w:rsid w:val="00DE2A65"/>
    <w:rsid w:val="00DE2BC6"/>
    <w:rsid w:val="00DE4166"/>
    <w:rsid w:val="00DE50BC"/>
    <w:rsid w:val="00DE5602"/>
    <w:rsid w:val="00DE56EE"/>
    <w:rsid w:val="00DE5BD9"/>
    <w:rsid w:val="00DE5C39"/>
    <w:rsid w:val="00DE6D3C"/>
    <w:rsid w:val="00DE6FC7"/>
    <w:rsid w:val="00DE72FF"/>
    <w:rsid w:val="00DE792F"/>
    <w:rsid w:val="00DE7A02"/>
    <w:rsid w:val="00DF0C60"/>
    <w:rsid w:val="00DF1945"/>
    <w:rsid w:val="00DF2C13"/>
    <w:rsid w:val="00DF31EB"/>
    <w:rsid w:val="00DF41EF"/>
    <w:rsid w:val="00DF4688"/>
    <w:rsid w:val="00DF6025"/>
    <w:rsid w:val="00DF72D2"/>
    <w:rsid w:val="00DF7434"/>
    <w:rsid w:val="00DF7955"/>
    <w:rsid w:val="00E005BF"/>
    <w:rsid w:val="00E00DC2"/>
    <w:rsid w:val="00E01300"/>
    <w:rsid w:val="00E0311E"/>
    <w:rsid w:val="00E034E5"/>
    <w:rsid w:val="00E05274"/>
    <w:rsid w:val="00E05B59"/>
    <w:rsid w:val="00E06F15"/>
    <w:rsid w:val="00E07811"/>
    <w:rsid w:val="00E07E9A"/>
    <w:rsid w:val="00E100D2"/>
    <w:rsid w:val="00E111D3"/>
    <w:rsid w:val="00E123C6"/>
    <w:rsid w:val="00E12861"/>
    <w:rsid w:val="00E12B49"/>
    <w:rsid w:val="00E12D13"/>
    <w:rsid w:val="00E12F69"/>
    <w:rsid w:val="00E12F9C"/>
    <w:rsid w:val="00E1421C"/>
    <w:rsid w:val="00E14754"/>
    <w:rsid w:val="00E14843"/>
    <w:rsid w:val="00E154FC"/>
    <w:rsid w:val="00E15A8C"/>
    <w:rsid w:val="00E16CB5"/>
    <w:rsid w:val="00E2086F"/>
    <w:rsid w:val="00E20B9B"/>
    <w:rsid w:val="00E2109C"/>
    <w:rsid w:val="00E21350"/>
    <w:rsid w:val="00E21CC9"/>
    <w:rsid w:val="00E21E40"/>
    <w:rsid w:val="00E22828"/>
    <w:rsid w:val="00E22926"/>
    <w:rsid w:val="00E2382E"/>
    <w:rsid w:val="00E23D4E"/>
    <w:rsid w:val="00E2563F"/>
    <w:rsid w:val="00E25C07"/>
    <w:rsid w:val="00E263A6"/>
    <w:rsid w:val="00E3019C"/>
    <w:rsid w:val="00E30462"/>
    <w:rsid w:val="00E30BCC"/>
    <w:rsid w:val="00E31872"/>
    <w:rsid w:val="00E32EBF"/>
    <w:rsid w:val="00E331A8"/>
    <w:rsid w:val="00E339CD"/>
    <w:rsid w:val="00E3459B"/>
    <w:rsid w:val="00E36B44"/>
    <w:rsid w:val="00E3775D"/>
    <w:rsid w:val="00E37783"/>
    <w:rsid w:val="00E40B39"/>
    <w:rsid w:val="00E422EC"/>
    <w:rsid w:val="00E435F1"/>
    <w:rsid w:val="00E43D5A"/>
    <w:rsid w:val="00E44128"/>
    <w:rsid w:val="00E44282"/>
    <w:rsid w:val="00E45D22"/>
    <w:rsid w:val="00E45EC9"/>
    <w:rsid w:val="00E46DEA"/>
    <w:rsid w:val="00E46F3F"/>
    <w:rsid w:val="00E46FF7"/>
    <w:rsid w:val="00E5058B"/>
    <w:rsid w:val="00E527A8"/>
    <w:rsid w:val="00E5312A"/>
    <w:rsid w:val="00E53B25"/>
    <w:rsid w:val="00E53DE3"/>
    <w:rsid w:val="00E541D4"/>
    <w:rsid w:val="00E54E68"/>
    <w:rsid w:val="00E5685B"/>
    <w:rsid w:val="00E576E1"/>
    <w:rsid w:val="00E57F48"/>
    <w:rsid w:val="00E60581"/>
    <w:rsid w:val="00E60C47"/>
    <w:rsid w:val="00E621E8"/>
    <w:rsid w:val="00E6251A"/>
    <w:rsid w:val="00E62E96"/>
    <w:rsid w:val="00E6313D"/>
    <w:rsid w:val="00E637F6"/>
    <w:rsid w:val="00E64D1C"/>
    <w:rsid w:val="00E64F86"/>
    <w:rsid w:val="00E67369"/>
    <w:rsid w:val="00E678CD"/>
    <w:rsid w:val="00E67915"/>
    <w:rsid w:val="00E70009"/>
    <w:rsid w:val="00E72568"/>
    <w:rsid w:val="00E72741"/>
    <w:rsid w:val="00E732D6"/>
    <w:rsid w:val="00E73916"/>
    <w:rsid w:val="00E7437B"/>
    <w:rsid w:val="00E75C29"/>
    <w:rsid w:val="00E7719B"/>
    <w:rsid w:val="00E772A6"/>
    <w:rsid w:val="00E81C40"/>
    <w:rsid w:val="00E830FF"/>
    <w:rsid w:val="00E832A2"/>
    <w:rsid w:val="00E832B4"/>
    <w:rsid w:val="00E845A0"/>
    <w:rsid w:val="00E848FB"/>
    <w:rsid w:val="00E84D9A"/>
    <w:rsid w:val="00E84E53"/>
    <w:rsid w:val="00E87DF6"/>
    <w:rsid w:val="00E90001"/>
    <w:rsid w:val="00E91743"/>
    <w:rsid w:val="00E92BB8"/>
    <w:rsid w:val="00E92DFA"/>
    <w:rsid w:val="00E941A1"/>
    <w:rsid w:val="00E94890"/>
    <w:rsid w:val="00E94CED"/>
    <w:rsid w:val="00E95822"/>
    <w:rsid w:val="00EA012B"/>
    <w:rsid w:val="00EA09BB"/>
    <w:rsid w:val="00EA2467"/>
    <w:rsid w:val="00EA2A0C"/>
    <w:rsid w:val="00EA37D6"/>
    <w:rsid w:val="00EA39AF"/>
    <w:rsid w:val="00EA3C08"/>
    <w:rsid w:val="00EA434B"/>
    <w:rsid w:val="00EA51B9"/>
    <w:rsid w:val="00EA540C"/>
    <w:rsid w:val="00EA6F57"/>
    <w:rsid w:val="00EB0A55"/>
    <w:rsid w:val="00EB0FC3"/>
    <w:rsid w:val="00EB3061"/>
    <w:rsid w:val="00EB4A0A"/>
    <w:rsid w:val="00EB6527"/>
    <w:rsid w:val="00EB6B97"/>
    <w:rsid w:val="00EB7256"/>
    <w:rsid w:val="00EB7719"/>
    <w:rsid w:val="00EC0BE8"/>
    <w:rsid w:val="00EC0CBD"/>
    <w:rsid w:val="00EC0E25"/>
    <w:rsid w:val="00EC1F54"/>
    <w:rsid w:val="00EC2C60"/>
    <w:rsid w:val="00EC4DD8"/>
    <w:rsid w:val="00EC5A6F"/>
    <w:rsid w:val="00EC77E6"/>
    <w:rsid w:val="00ED0B20"/>
    <w:rsid w:val="00ED15DC"/>
    <w:rsid w:val="00ED176C"/>
    <w:rsid w:val="00ED1C6A"/>
    <w:rsid w:val="00ED1FA7"/>
    <w:rsid w:val="00ED2451"/>
    <w:rsid w:val="00ED39D6"/>
    <w:rsid w:val="00ED3DC3"/>
    <w:rsid w:val="00ED790B"/>
    <w:rsid w:val="00ED7CD1"/>
    <w:rsid w:val="00EE014E"/>
    <w:rsid w:val="00EE147A"/>
    <w:rsid w:val="00EE29BD"/>
    <w:rsid w:val="00EE3902"/>
    <w:rsid w:val="00EE394C"/>
    <w:rsid w:val="00EE4FAC"/>
    <w:rsid w:val="00EE58A6"/>
    <w:rsid w:val="00EE678B"/>
    <w:rsid w:val="00EE77FC"/>
    <w:rsid w:val="00EE7E6E"/>
    <w:rsid w:val="00EF0C32"/>
    <w:rsid w:val="00EF0F77"/>
    <w:rsid w:val="00EF1048"/>
    <w:rsid w:val="00EF12E6"/>
    <w:rsid w:val="00EF203B"/>
    <w:rsid w:val="00EF27EB"/>
    <w:rsid w:val="00EF3448"/>
    <w:rsid w:val="00EF39B2"/>
    <w:rsid w:val="00EF3C01"/>
    <w:rsid w:val="00EF41C3"/>
    <w:rsid w:val="00EF439D"/>
    <w:rsid w:val="00EF5926"/>
    <w:rsid w:val="00EF748C"/>
    <w:rsid w:val="00EF76D9"/>
    <w:rsid w:val="00EF77EE"/>
    <w:rsid w:val="00F004A6"/>
    <w:rsid w:val="00F0193B"/>
    <w:rsid w:val="00F02307"/>
    <w:rsid w:val="00F032E8"/>
    <w:rsid w:val="00F0492D"/>
    <w:rsid w:val="00F07070"/>
    <w:rsid w:val="00F074E8"/>
    <w:rsid w:val="00F10077"/>
    <w:rsid w:val="00F10938"/>
    <w:rsid w:val="00F1127B"/>
    <w:rsid w:val="00F1155B"/>
    <w:rsid w:val="00F11C1C"/>
    <w:rsid w:val="00F11F88"/>
    <w:rsid w:val="00F12FBB"/>
    <w:rsid w:val="00F1320D"/>
    <w:rsid w:val="00F1369A"/>
    <w:rsid w:val="00F13EBC"/>
    <w:rsid w:val="00F150B5"/>
    <w:rsid w:val="00F15429"/>
    <w:rsid w:val="00F1571D"/>
    <w:rsid w:val="00F15D53"/>
    <w:rsid w:val="00F15E7E"/>
    <w:rsid w:val="00F163A2"/>
    <w:rsid w:val="00F164C0"/>
    <w:rsid w:val="00F16A25"/>
    <w:rsid w:val="00F178A6"/>
    <w:rsid w:val="00F21001"/>
    <w:rsid w:val="00F21224"/>
    <w:rsid w:val="00F21465"/>
    <w:rsid w:val="00F21BF0"/>
    <w:rsid w:val="00F22692"/>
    <w:rsid w:val="00F22A58"/>
    <w:rsid w:val="00F24697"/>
    <w:rsid w:val="00F2521A"/>
    <w:rsid w:val="00F256A8"/>
    <w:rsid w:val="00F25738"/>
    <w:rsid w:val="00F2575B"/>
    <w:rsid w:val="00F25797"/>
    <w:rsid w:val="00F25B7E"/>
    <w:rsid w:val="00F25E42"/>
    <w:rsid w:val="00F2600C"/>
    <w:rsid w:val="00F26552"/>
    <w:rsid w:val="00F268B5"/>
    <w:rsid w:val="00F27339"/>
    <w:rsid w:val="00F27F17"/>
    <w:rsid w:val="00F305C9"/>
    <w:rsid w:val="00F30AB1"/>
    <w:rsid w:val="00F31042"/>
    <w:rsid w:val="00F32FB7"/>
    <w:rsid w:val="00F34C10"/>
    <w:rsid w:val="00F34F44"/>
    <w:rsid w:val="00F3518E"/>
    <w:rsid w:val="00F357A7"/>
    <w:rsid w:val="00F35F95"/>
    <w:rsid w:val="00F36AF5"/>
    <w:rsid w:val="00F372C2"/>
    <w:rsid w:val="00F40D33"/>
    <w:rsid w:val="00F4122B"/>
    <w:rsid w:val="00F41483"/>
    <w:rsid w:val="00F42E44"/>
    <w:rsid w:val="00F42E81"/>
    <w:rsid w:val="00F439E8"/>
    <w:rsid w:val="00F440C0"/>
    <w:rsid w:val="00F45624"/>
    <w:rsid w:val="00F45AD7"/>
    <w:rsid w:val="00F45B5E"/>
    <w:rsid w:val="00F46388"/>
    <w:rsid w:val="00F46739"/>
    <w:rsid w:val="00F47DBC"/>
    <w:rsid w:val="00F51AFA"/>
    <w:rsid w:val="00F51B3E"/>
    <w:rsid w:val="00F52408"/>
    <w:rsid w:val="00F53BA4"/>
    <w:rsid w:val="00F53DD1"/>
    <w:rsid w:val="00F551FA"/>
    <w:rsid w:val="00F55FCB"/>
    <w:rsid w:val="00F56816"/>
    <w:rsid w:val="00F575F9"/>
    <w:rsid w:val="00F57D55"/>
    <w:rsid w:val="00F607B4"/>
    <w:rsid w:val="00F6327C"/>
    <w:rsid w:val="00F63D47"/>
    <w:rsid w:val="00F6509C"/>
    <w:rsid w:val="00F655E4"/>
    <w:rsid w:val="00F65766"/>
    <w:rsid w:val="00F67EC1"/>
    <w:rsid w:val="00F7085B"/>
    <w:rsid w:val="00F70B4B"/>
    <w:rsid w:val="00F7133F"/>
    <w:rsid w:val="00F71EFD"/>
    <w:rsid w:val="00F72248"/>
    <w:rsid w:val="00F724A6"/>
    <w:rsid w:val="00F7312B"/>
    <w:rsid w:val="00F73234"/>
    <w:rsid w:val="00F7338F"/>
    <w:rsid w:val="00F73892"/>
    <w:rsid w:val="00F73D27"/>
    <w:rsid w:val="00F75173"/>
    <w:rsid w:val="00F752D7"/>
    <w:rsid w:val="00F76D20"/>
    <w:rsid w:val="00F77EA6"/>
    <w:rsid w:val="00F80395"/>
    <w:rsid w:val="00F80C24"/>
    <w:rsid w:val="00F80F14"/>
    <w:rsid w:val="00F81167"/>
    <w:rsid w:val="00F81EE1"/>
    <w:rsid w:val="00F848A6"/>
    <w:rsid w:val="00F84A2A"/>
    <w:rsid w:val="00F8504F"/>
    <w:rsid w:val="00F855D6"/>
    <w:rsid w:val="00F85981"/>
    <w:rsid w:val="00F8599C"/>
    <w:rsid w:val="00F85C71"/>
    <w:rsid w:val="00F86237"/>
    <w:rsid w:val="00F86986"/>
    <w:rsid w:val="00F874C8"/>
    <w:rsid w:val="00F879F7"/>
    <w:rsid w:val="00F87CB1"/>
    <w:rsid w:val="00F90B4C"/>
    <w:rsid w:val="00F90F59"/>
    <w:rsid w:val="00F92302"/>
    <w:rsid w:val="00F92C03"/>
    <w:rsid w:val="00F93D1E"/>
    <w:rsid w:val="00F94B4D"/>
    <w:rsid w:val="00F956B8"/>
    <w:rsid w:val="00F977D2"/>
    <w:rsid w:val="00F97EA5"/>
    <w:rsid w:val="00FA16FA"/>
    <w:rsid w:val="00FA1897"/>
    <w:rsid w:val="00FA1F1B"/>
    <w:rsid w:val="00FA2647"/>
    <w:rsid w:val="00FA2658"/>
    <w:rsid w:val="00FA2E1E"/>
    <w:rsid w:val="00FA30B9"/>
    <w:rsid w:val="00FA3C34"/>
    <w:rsid w:val="00FA4192"/>
    <w:rsid w:val="00FA59C2"/>
    <w:rsid w:val="00FA7429"/>
    <w:rsid w:val="00FB0067"/>
    <w:rsid w:val="00FB1720"/>
    <w:rsid w:val="00FB238A"/>
    <w:rsid w:val="00FB3237"/>
    <w:rsid w:val="00FB3A3F"/>
    <w:rsid w:val="00FB418C"/>
    <w:rsid w:val="00FB4370"/>
    <w:rsid w:val="00FB50CE"/>
    <w:rsid w:val="00FB5304"/>
    <w:rsid w:val="00FB5F3A"/>
    <w:rsid w:val="00FB6C7B"/>
    <w:rsid w:val="00FB73FF"/>
    <w:rsid w:val="00FC1802"/>
    <w:rsid w:val="00FC2F35"/>
    <w:rsid w:val="00FC3448"/>
    <w:rsid w:val="00FC408F"/>
    <w:rsid w:val="00FC502A"/>
    <w:rsid w:val="00FC5953"/>
    <w:rsid w:val="00FC651B"/>
    <w:rsid w:val="00FC696D"/>
    <w:rsid w:val="00FC6A84"/>
    <w:rsid w:val="00FC6BBD"/>
    <w:rsid w:val="00FC7018"/>
    <w:rsid w:val="00FD0684"/>
    <w:rsid w:val="00FD11B4"/>
    <w:rsid w:val="00FD15F9"/>
    <w:rsid w:val="00FD262C"/>
    <w:rsid w:val="00FD45A4"/>
    <w:rsid w:val="00FD45EF"/>
    <w:rsid w:val="00FD45F2"/>
    <w:rsid w:val="00FD470B"/>
    <w:rsid w:val="00FD4779"/>
    <w:rsid w:val="00FD4BFC"/>
    <w:rsid w:val="00FD4C6A"/>
    <w:rsid w:val="00FD71DE"/>
    <w:rsid w:val="00FE02F9"/>
    <w:rsid w:val="00FE0EE6"/>
    <w:rsid w:val="00FE150A"/>
    <w:rsid w:val="00FE166A"/>
    <w:rsid w:val="00FE39ED"/>
    <w:rsid w:val="00FE4224"/>
    <w:rsid w:val="00FE49D2"/>
    <w:rsid w:val="00FE50EC"/>
    <w:rsid w:val="00FE5B69"/>
    <w:rsid w:val="00FE68CD"/>
    <w:rsid w:val="00FE705F"/>
    <w:rsid w:val="00FE73D5"/>
    <w:rsid w:val="00FE763F"/>
    <w:rsid w:val="00FF0F16"/>
    <w:rsid w:val="00FF145F"/>
    <w:rsid w:val="00FF24E8"/>
    <w:rsid w:val="00FF4EEB"/>
    <w:rsid w:val="00FF5371"/>
    <w:rsid w:val="00FF5831"/>
    <w:rsid w:val="00FF5A26"/>
    <w:rsid w:val="00FF5AB4"/>
    <w:rsid w:val="00FF6238"/>
    <w:rsid w:val="00FF63D8"/>
    <w:rsid w:val="00FF6BAB"/>
    <w:rsid w:val="02A22576"/>
    <w:rsid w:val="02B11931"/>
    <w:rsid w:val="02D33564"/>
    <w:rsid w:val="033D4FEA"/>
    <w:rsid w:val="044444FF"/>
    <w:rsid w:val="054A240B"/>
    <w:rsid w:val="05F21F4E"/>
    <w:rsid w:val="06183F57"/>
    <w:rsid w:val="061C1877"/>
    <w:rsid w:val="071369A9"/>
    <w:rsid w:val="073F3655"/>
    <w:rsid w:val="07523012"/>
    <w:rsid w:val="075353C3"/>
    <w:rsid w:val="075F62F7"/>
    <w:rsid w:val="07893A78"/>
    <w:rsid w:val="07F06D1D"/>
    <w:rsid w:val="08482DB0"/>
    <w:rsid w:val="085801E9"/>
    <w:rsid w:val="08EB4C05"/>
    <w:rsid w:val="091122DA"/>
    <w:rsid w:val="09976E4D"/>
    <w:rsid w:val="0A3F2CAD"/>
    <w:rsid w:val="0A8F57D7"/>
    <w:rsid w:val="0ABF7AFD"/>
    <w:rsid w:val="0B1343B9"/>
    <w:rsid w:val="0B187EF4"/>
    <w:rsid w:val="0C4E60AC"/>
    <w:rsid w:val="0CE353B4"/>
    <w:rsid w:val="0D5B5ADE"/>
    <w:rsid w:val="0E7368DB"/>
    <w:rsid w:val="0F036640"/>
    <w:rsid w:val="0F0F1561"/>
    <w:rsid w:val="0F7A6E07"/>
    <w:rsid w:val="0F907655"/>
    <w:rsid w:val="0FF974F3"/>
    <w:rsid w:val="107C1CA9"/>
    <w:rsid w:val="124536A0"/>
    <w:rsid w:val="126261A1"/>
    <w:rsid w:val="13B412BF"/>
    <w:rsid w:val="13DB7919"/>
    <w:rsid w:val="144D2643"/>
    <w:rsid w:val="145066F9"/>
    <w:rsid w:val="1452627F"/>
    <w:rsid w:val="147902C2"/>
    <w:rsid w:val="149364B1"/>
    <w:rsid w:val="15717947"/>
    <w:rsid w:val="15E12B08"/>
    <w:rsid w:val="161E62C6"/>
    <w:rsid w:val="16A4773E"/>
    <w:rsid w:val="171A05E0"/>
    <w:rsid w:val="17E263BA"/>
    <w:rsid w:val="18653181"/>
    <w:rsid w:val="18C333E1"/>
    <w:rsid w:val="19B041BB"/>
    <w:rsid w:val="1A303059"/>
    <w:rsid w:val="1A3D36A0"/>
    <w:rsid w:val="1AC768DC"/>
    <w:rsid w:val="1B4E229A"/>
    <w:rsid w:val="1BD6185D"/>
    <w:rsid w:val="1C206618"/>
    <w:rsid w:val="1C4A09B1"/>
    <w:rsid w:val="1CAB50E0"/>
    <w:rsid w:val="1CC82DEC"/>
    <w:rsid w:val="1D4A0AAF"/>
    <w:rsid w:val="1DED5D73"/>
    <w:rsid w:val="1DF12E41"/>
    <w:rsid w:val="1E144005"/>
    <w:rsid w:val="1E2A2D06"/>
    <w:rsid w:val="1E8C69FE"/>
    <w:rsid w:val="1EDF7432"/>
    <w:rsid w:val="1F9A7BD7"/>
    <w:rsid w:val="1FCB227D"/>
    <w:rsid w:val="20D9595D"/>
    <w:rsid w:val="20F937D9"/>
    <w:rsid w:val="210D324F"/>
    <w:rsid w:val="217D6B7B"/>
    <w:rsid w:val="21926233"/>
    <w:rsid w:val="21A61B8A"/>
    <w:rsid w:val="223C5494"/>
    <w:rsid w:val="22AA4B94"/>
    <w:rsid w:val="23190B17"/>
    <w:rsid w:val="232468AF"/>
    <w:rsid w:val="23523208"/>
    <w:rsid w:val="23D743AC"/>
    <w:rsid w:val="23EA7D8E"/>
    <w:rsid w:val="24237928"/>
    <w:rsid w:val="247C3D6D"/>
    <w:rsid w:val="255C0E44"/>
    <w:rsid w:val="25896CAB"/>
    <w:rsid w:val="26270B12"/>
    <w:rsid w:val="263F39CA"/>
    <w:rsid w:val="26C86447"/>
    <w:rsid w:val="274C2B43"/>
    <w:rsid w:val="277A6266"/>
    <w:rsid w:val="2781743A"/>
    <w:rsid w:val="27C5580F"/>
    <w:rsid w:val="27FC0C27"/>
    <w:rsid w:val="28036EC1"/>
    <w:rsid w:val="29A414C7"/>
    <w:rsid w:val="29E673A4"/>
    <w:rsid w:val="2A3F51A7"/>
    <w:rsid w:val="2A5322EB"/>
    <w:rsid w:val="2AD80E49"/>
    <w:rsid w:val="2B0348E6"/>
    <w:rsid w:val="2B7E5499"/>
    <w:rsid w:val="2B8D1029"/>
    <w:rsid w:val="2C5300F1"/>
    <w:rsid w:val="2C5C156F"/>
    <w:rsid w:val="2DEC60E3"/>
    <w:rsid w:val="2E163F31"/>
    <w:rsid w:val="2EB73264"/>
    <w:rsid w:val="2F0F2988"/>
    <w:rsid w:val="2F1A63C2"/>
    <w:rsid w:val="2F2B7B51"/>
    <w:rsid w:val="2F5C1053"/>
    <w:rsid w:val="31F45D83"/>
    <w:rsid w:val="323D0BD9"/>
    <w:rsid w:val="327842F9"/>
    <w:rsid w:val="32B046E7"/>
    <w:rsid w:val="32D84626"/>
    <w:rsid w:val="32EC09E8"/>
    <w:rsid w:val="331139D7"/>
    <w:rsid w:val="339B5CD2"/>
    <w:rsid w:val="340C697A"/>
    <w:rsid w:val="3440126F"/>
    <w:rsid w:val="344D209F"/>
    <w:rsid w:val="34A72BD7"/>
    <w:rsid w:val="36184DBD"/>
    <w:rsid w:val="36406290"/>
    <w:rsid w:val="365E0679"/>
    <w:rsid w:val="37157C0F"/>
    <w:rsid w:val="37C0418E"/>
    <w:rsid w:val="37CF415F"/>
    <w:rsid w:val="37FB646E"/>
    <w:rsid w:val="386B1363"/>
    <w:rsid w:val="38742570"/>
    <w:rsid w:val="38BA773A"/>
    <w:rsid w:val="38C40852"/>
    <w:rsid w:val="3A724330"/>
    <w:rsid w:val="3AD12D9B"/>
    <w:rsid w:val="3B1A647F"/>
    <w:rsid w:val="3B9D394B"/>
    <w:rsid w:val="3C345ED9"/>
    <w:rsid w:val="3CA12768"/>
    <w:rsid w:val="3CDC7869"/>
    <w:rsid w:val="3CEE3280"/>
    <w:rsid w:val="3D224F80"/>
    <w:rsid w:val="3D765233"/>
    <w:rsid w:val="3DA17664"/>
    <w:rsid w:val="3F4505B9"/>
    <w:rsid w:val="3FBE47B4"/>
    <w:rsid w:val="40BB3535"/>
    <w:rsid w:val="41031D18"/>
    <w:rsid w:val="41400B9D"/>
    <w:rsid w:val="4210778E"/>
    <w:rsid w:val="42571EB0"/>
    <w:rsid w:val="428A2EF4"/>
    <w:rsid w:val="42AE559F"/>
    <w:rsid w:val="434A5696"/>
    <w:rsid w:val="43DA1C7E"/>
    <w:rsid w:val="445A3116"/>
    <w:rsid w:val="447F21F0"/>
    <w:rsid w:val="46B11A95"/>
    <w:rsid w:val="46C2400A"/>
    <w:rsid w:val="47397E33"/>
    <w:rsid w:val="47525815"/>
    <w:rsid w:val="47583043"/>
    <w:rsid w:val="48694BFC"/>
    <w:rsid w:val="49762FF6"/>
    <w:rsid w:val="4A206775"/>
    <w:rsid w:val="4A9D2BF7"/>
    <w:rsid w:val="4B1D3025"/>
    <w:rsid w:val="4BE876C9"/>
    <w:rsid w:val="4BF42F20"/>
    <w:rsid w:val="4C450171"/>
    <w:rsid w:val="4CE21A4C"/>
    <w:rsid w:val="4D76734C"/>
    <w:rsid w:val="4D9D1BB3"/>
    <w:rsid w:val="4DB74971"/>
    <w:rsid w:val="4ED974D6"/>
    <w:rsid w:val="4F184AA1"/>
    <w:rsid w:val="4FA61186"/>
    <w:rsid w:val="4FBC7A83"/>
    <w:rsid w:val="4FD040E8"/>
    <w:rsid w:val="50470E49"/>
    <w:rsid w:val="50DD1ABB"/>
    <w:rsid w:val="51667901"/>
    <w:rsid w:val="52451B20"/>
    <w:rsid w:val="52575281"/>
    <w:rsid w:val="5472181D"/>
    <w:rsid w:val="54A3292A"/>
    <w:rsid w:val="5505704F"/>
    <w:rsid w:val="55126949"/>
    <w:rsid w:val="559B1D6D"/>
    <w:rsid w:val="55F079B8"/>
    <w:rsid w:val="560A03A4"/>
    <w:rsid w:val="560B62A2"/>
    <w:rsid w:val="562E6495"/>
    <w:rsid w:val="56355A6E"/>
    <w:rsid w:val="571F1092"/>
    <w:rsid w:val="57895F54"/>
    <w:rsid w:val="579776EC"/>
    <w:rsid w:val="58C54611"/>
    <w:rsid w:val="5B344B4C"/>
    <w:rsid w:val="5B4F243F"/>
    <w:rsid w:val="5B502B6C"/>
    <w:rsid w:val="5B5C391E"/>
    <w:rsid w:val="5B5C5A0E"/>
    <w:rsid w:val="5B5D6D4A"/>
    <w:rsid w:val="5BB424C1"/>
    <w:rsid w:val="5C431439"/>
    <w:rsid w:val="5CCD001C"/>
    <w:rsid w:val="5CF166C9"/>
    <w:rsid w:val="5CFD5E9B"/>
    <w:rsid w:val="5D411908"/>
    <w:rsid w:val="5DB6607F"/>
    <w:rsid w:val="5F2870C3"/>
    <w:rsid w:val="5F53066A"/>
    <w:rsid w:val="60BD4F83"/>
    <w:rsid w:val="61327E67"/>
    <w:rsid w:val="614B3464"/>
    <w:rsid w:val="618A347F"/>
    <w:rsid w:val="61F84920"/>
    <w:rsid w:val="62BB395D"/>
    <w:rsid w:val="630944B2"/>
    <w:rsid w:val="632B51AF"/>
    <w:rsid w:val="634E4D84"/>
    <w:rsid w:val="63762DFB"/>
    <w:rsid w:val="63867C9A"/>
    <w:rsid w:val="63B20BF6"/>
    <w:rsid w:val="63DF7D08"/>
    <w:rsid w:val="640506A4"/>
    <w:rsid w:val="64581257"/>
    <w:rsid w:val="6463551C"/>
    <w:rsid w:val="65A05038"/>
    <w:rsid w:val="660B6CC0"/>
    <w:rsid w:val="663A6766"/>
    <w:rsid w:val="66F7396D"/>
    <w:rsid w:val="684C40DB"/>
    <w:rsid w:val="684E3BFE"/>
    <w:rsid w:val="68516F96"/>
    <w:rsid w:val="68C97799"/>
    <w:rsid w:val="69D15ACC"/>
    <w:rsid w:val="6A1E3C46"/>
    <w:rsid w:val="6A741E1A"/>
    <w:rsid w:val="6A7872BD"/>
    <w:rsid w:val="6A96425E"/>
    <w:rsid w:val="6B8D39A5"/>
    <w:rsid w:val="6BAE2C35"/>
    <w:rsid w:val="6C1105EA"/>
    <w:rsid w:val="6C1B5E49"/>
    <w:rsid w:val="6C630DEF"/>
    <w:rsid w:val="6C6763EC"/>
    <w:rsid w:val="6C991A15"/>
    <w:rsid w:val="6CF358C1"/>
    <w:rsid w:val="6D991990"/>
    <w:rsid w:val="6E5059CB"/>
    <w:rsid w:val="6E540CB8"/>
    <w:rsid w:val="6EC64775"/>
    <w:rsid w:val="6F1D428F"/>
    <w:rsid w:val="71013B3E"/>
    <w:rsid w:val="71734416"/>
    <w:rsid w:val="7211718B"/>
    <w:rsid w:val="72165A12"/>
    <w:rsid w:val="72ED613A"/>
    <w:rsid w:val="73412BC3"/>
    <w:rsid w:val="737309E0"/>
    <w:rsid w:val="73860D91"/>
    <w:rsid w:val="741202F1"/>
    <w:rsid w:val="742D41A1"/>
    <w:rsid w:val="74552652"/>
    <w:rsid w:val="751E3ABE"/>
    <w:rsid w:val="753214DF"/>
    <w:rsid w:val="757F1456"/>
    <w:rsid w:val="76432BD6"/>
    <w:rsid w:val="765D7A02"/>
    <w:rsid w:val="769F2564"/>
    <w:rsid w:val="76FD0E1F"/>
    <w:rsid w:val="77161317"/>
    <w:rsid w:val="774E31B2"/>
    <w:rsid w:val="77DF39D4"/>
    <w:rsid w:val="782E7DD2"/>
    <w:rsid w:val="7927276C"/>
    <w:rsid w:val="7970093E"/>
    <w:rsid w:val="79742E09"/>
    <w:rsid w:val="797804FA"/>
    <w:rsid w:val="79B861C4"/>
    <w:rsid w:val="7AB41AA0"/>
    <w:rsid w:val="7AC23A07"/>
    <w:rsid w:val="7AEF2CC1"/>
    <w:rsid w:val="7B01510F"/>
    <w:rsid w:val="7B890E8C"/>
    <w:rsid w:val="7BA41302"/>
    <w:rsid w:val="7C902A38"/>
    <w:rsid w:val="7C9676E8"/>
    <w:rsid w:val="7D6E781B"/>
    <w:rsid w:val="7DE5073F"/>
    <w:rsid w:val="7E7733FB"/>
    <w:rsid w:val="7EAC13E4"/>
    <w:rsid w:val="7EE70074"/>
    <w:rsid w:val="7EEA67FE"/>
    <w:rsid w:val="7F4D6D66"/>
    <w:rsid w:val="7F520F2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jc w:val="center"/>
      <w:outlineLvl w:val="0"/>
    </w:pPr>
    <w:rPr>
      <w:rFonts w:eastAsia="CG Times"/>
      <w:b/>
      <w:kern w:val="44"/>
      <w:sz w:val="36"/>
      <w:szCs w:val="20"/>
    </w:rPr>
  </w:style>
  <w:style w:type="paragraph" w:styleId="4">
    <w:name w:val="heading 2"/>
    <w:basedOn w:val="1"/>
    <w:next w:val="5"/>
    <w:link w:val="178"/>
    <w:qFormat/>
    <w:uiPriority w:val="0"/>
    <w:pPr>
      <w:keepNext/>
      <w:keepLines/>
      <w:spacing w:before="260" w:after="260" w:line="413" w:lineRule="auto"/>
      <w:jc w:val="center"/>
      <w:outlineLvl w:val="1"/>
    </w:pPr>
    <w:rPr>
      <w:rFonts w:ascii="Arial Black" w:hAnsi="Arial Black" w:eastAsia="Arial Narrow"/>
      <w:b/>
      <w:sz w:val="30"/>
    </w:rPr>
  </w:style>
  <w:style w:type="paragraph" w:styleId="6">
    <w:name w:val="heading 3"/>
    <w:basedOn w:val="1"/>
    <w:next w:val="1"/>
    <w:qFormat/>
    <w:uiPriority w:val="0"/>
    <w:pPr>
      <w:keepNext/>
      <w:keepLines/>
      <w:spacing w:before="260" w:beforeLines="0" w:after="260" w:afterLines="0" w:line="413" w:lineRule="auto"/>
      <w:outlineLvl w:val="2"/>
    </w:pPr>
    <w:rPr>
      <w:b/>
      <w:bCs/>
      <w:sz w:val="32"/>
      <w:szCs w:val="32"/>
    </w:rPr>
  </w:style>
  <w:style w:type="paragraph" w:styleId="7">
    <w:name w:val="heading 4"/>
    <w:basedOn w:val="1"/>
    <w:next w:val="1"/>
    <w:qFormat/>
    <w:uiPriority w:val="0"/>
    <w:pPr>
      <w:keepNext/>
      <w:keepLines/>
      <w:spacing w:before="280" w:beforeLines="0" w:after="290" w:afterLines="0" w:line="372" w:lineRule="auto"/>
      <w:outlineLvl w:val="3"/>
    </w:pPr>
    <w:rPr>
      <w:rFonts w:ascii="Symbol" w:hAnsi="Symbol" w:eastAsia="CG Times"/>
      <w:b/>
      <w:bCs/>
      <w:sz w:val="28"/>
      <w:szCs w:val="28"/>
    </w:rPr>
  </w:style>
  <w:style w:type="paragraph" w:styleId="8">
    <w:name w:val="heading 5"/>
    <w:basedOn w:val="1"/>
    <w:next w:val="5"/>
    <w:link w:val="173"/>
    <w:qFormat/>
    <w:uiPriority w:val="0"/>
    <w:pPr>
      <w:keepNext/>
      <w:keepLines/>
      <w:spacing w:before="280" w:after="290" w:line="372" w:lineRule="auto"/>
      <w:outlineLvl w:val="4"/>
    </w:pPr>
    <w:rPr>
      <w:rFonts w:eastAsia="Arial Narrow"/>
      <w:b/>
      <w:sz w:val="28"/>
    </w:rPr>
  </w:style>
  <w:style w:type="paragraph" w:styleId="9">
    <w:name w:val="heading 6"/>
    <w:basedOn w:val="1"/>
    <w:next w:val="5"/>
    <w:qFormat/>
    <w:uiPriority w:val="0"/>
    <w:pPr>
      <w:keepNext/>
      <w:keepLines/>
      <w:spacing w:before="240" w:after="64" w:line="317" w:lineRule="auto"/>
      <w:outlineLvl w:val="5"/>
    </w:pPr>
    <w:rPr>
      <w:rFonts w:ascii="Symbol" w:hAnsi="Symbol" w:eastAsia="CG Times"/>
      <w:b/>
      <w:sz w:val="24"/>
      <w:szCs w:val="20"/>
    </w:rPr>
  </w:style>
  <w:style w:type="paragraph" w:styleId="10">
    <w:name w:val="heading 7"/>
    <w:basedOn w:val="1"/>
    <w:next w:val="5"/>
    <w:qFormat/>
    <w:uiPriority w:val="0"/>
    <w:pPr>
      <w:keepNext/>
      <w:keepLines/>
      <w:spacing w:before="240" w:after="64" w:line="317" w:lineRule="auto"/>
      <w:outlineLvl w:val="6"/>
    </w:pPr>
    <w:rPr>
      <w:b/>
      <w:sz w:val="24"/>
      <w:szCs w:val="20"/>
    </w:rPr>
  </w:style>
  <w:style w:type="paragraph" w:styleId="11">
    <w:name w:val="heading 8"/>
    <w:basedOn w:val="1"/>
    <w:next w:val="5"/>
    <w:qFormat/>
    <w:uiPriority w:val="0"/>
    <w:pPr>
      <w:keepNext/>
      <w:keepLines/>
      <w:spacing w:before="240" w:after="64" w:line="317" w:lineRule="auto"/>
      <w:outlineLvl w:val="7"/>
    </w:pPr>
    <w:rPr>
      <w:rFonts w:ascii="Symbol" w:hAnsi="Symbol" w:eastAsia="CG Times"/>
      <w:sz w:val="24"/>
      <w:szCs w:val="20"/>
    </w:rPr>
  </w:style>
  <w:style w:type="paragraph" w:styleId="12">
    <w:name w:val="heading 9"/>
    <w:basedOn w:val="1"/>
    <w:next w:val="5"/>
    <w:qFormat/>
    <w:uiPriority w:val="0"/>
    <w:pPr>
      <w:keepNext/>
      <w:keepLines/>
      <w:spacing w:before="240" w:after="64" w:line="317" w:lineRule="auto"/>
      <w:outlineLvl w:val="8"/>
    </w:pPr>
    <w:rPr>
      <w:rFonts w:ascii="Symbol" w:hAnsi="Symbol" w:eastAsia="CG Times"/>
      <w:szCs w:val="20"/>
    </w:rPr>
  </w:style>
  <w:style w:type="character" w:default="1" w:styleId="42">
    <w:name w:val="Default Paragraph Font"/>
    <w:qFormat/>
    <w:uiPriority w:val="0"/>
    <w:rPr>
      <w:rFonts w:ascii="Tahoma" w:hAnsi="Tahoma"/>
      <w:sz w:val="24"/>
      <w:szCs w:val="20"/>
    </w:rPr>
  </w:style>
  <w:style w:type="table" w:default="1" w:styleId="40">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auto"/>
      <w:ind w:firstLine="480" w:firstLineChars="200"/>
      <w:jc w:val="left"/>
    </w:pPr>
    <w:rPr>
      <w:rFonts w:hAnsi="Arial Narrow"/>
      <w:sz w:val="24"/>
      <w:szCs w:val="21"/>
    </w:rPr>
  </w:style>
  <w:style w:type="paragraph" w:styleId="5">
    <w:name w:val="Normal Indent"/>
    <w:basedOn w:val="1"/>
    <w:link w:val="188"/>
    <w:qFormat/>
    <w:uiPriority w:val="0"/>
    <w:pPr>
      <w:ind w:firstLine="420"/>
    </w:pPr>
    <w:rPr>
      <w:rFonts w:eastAsia="Arial Narrow"/>
      <w:szCs w:val="20"/>
    </w:rPr>
  </w:style>
  <w:style w:type="paragraph" w:styleId="13">
    <w:name w:val="toc 7"/>
    <w:basedOn w:val="1"/>
    <w:next w:val="1"/>
    <w:semiHidden/>
    <w:qFormat/>
    <w:uiPriority w:val="0"/>
    <w:pPr>
      <w:ind w:left="2520" w:leftChars="1200"/>
    </w:pPr>
    <w:rPr>
      <w:rFonts w:ascii="Times New Roman" w:hAnsi="Times New Roman"/>
    </w:rPr>
  </w:style>
  <w:style w:type="paragraph" w:styleId="14">
    <w:name w:val="Document Map"/>
    <w:basedOn w:val="1"/>
    <w:qFormat/>
    <w:uiPriority w:val="0"/>
    <w:pPr>
      <w:shd w:val="clear" w:color="auto" w:fill="000080"/>
    </w:pPr>
  </w:style>
  <w:style w:type="paragraph" w:styleId="15">
    <w:name w:val="annotation text"/>
    <w:basedOn w:val="1"/>
    <w:link w:val="186"/>
    <w:qFormat/>
    <w:uiPriority w:val="0"/>
    <w:pPr>
      <w:jc w:val="left"/>
    </w:pPr>
  </w:style>
  <w:style w:type="paragraph" w:styleId="16">
    <w:name w:val="Salutation"/>
    <w:basedOn w:val="1"/>
    <w:next w:val="1"/>
    <w:link w:val="185"/>
    <w:qFormat/>
    <w:uiPriority w:val="0"/>
    <w:pPr>
      <w:adjustRightInd w:val="0"/>
      <w:spacing w:line="312" w:lineRule="atLeast"/>
      <w:textAlignment w:val="baseline"/>
    </w:pPr>
    <w:rPr>
      <w:rFonts w:ascii="Arial Narrow" w:eastAsia="Arial Narrow"/>
      <w:kern w:val="0"/>
      <w:sz w:val="24"/>
      <w:szCs w:val="20"/>
    </w:rPr>
  </w:style>
  <w:style w:type="paragraph" w:styleId="17">
    <w:name w:val="Closing"/>
    <w:basedOn w:val="1"/>
    <w:qFormat/>
    <w:uiPriority w:val="0"/>
    <w:pPr>
      <w:ind w:left="100" w:leftChars="2100"/>
    </w:pPr>
  </w:style>
  <w:style w:type="paragraph" w:styleId="18">
    <w:name w:val="Body Text"/>
    <w:basedOn w:val="1"/>
    <w:link w:val="182"/>
    <w:qFormat/>
    <w:uiPriority w:val="0"/>
    <w:pPr>
      <w:spacing w:after="120" w:afterLines="0"/>
    </w:pPr>
  </w:style>
  <w:style w:type="paragraph" w:styleId="19">
    <w:name w:val="Body Text Indent"/>
    <w:basedOn w:val="1"/>
    <w:link w:val="187"/>
    <w:qFormat/>
    <w:uiPriority w:val="0"/>
    <w:pPr>
      <w:spacing w:line="360" w:lineRule="auto"/>
      <w:ind w:firstLine="525"/>
    </w:pPr>
    <w:rPr>
      <w:rFonts w:ascii="Arial Narrow" w:hAnsi="Arial Narrow"/>
      <w:sz w:val="24"/>
      <w:szCs w:val="21"/>
    </w:rPr>
  </w:style>
  <w:style w:type="paragraph" w:styleId="20">
    <w:name w:val="toc 5"/>
    <w:basedOn w:val="1"/>
    <w:next w:val="1"/>
    <w:semiHidden/>
    <w:qFormat/>
    <w:uiPriority w:val="0"/>
    <w:pPr>
      <w:ind w:left="1680" w:leftChars="800"/>
    </w:pPr>
    <w:rPr>
      <w:rFonts w:ascii="Times New Roman" w:hAnsi="Times New Roman"/>
    </w:rPr>
  </w:style>
  <w:style w:type="paragraph" w:styleId="21">
    <w:name w:val="toc 3"/>
    <w:basedOn w:val="1"/>
    <w:next w:val="1"/>
    <w:qFormat/>
    <w:uiPriority w:val="39"/>
    <w:pPr>
      <w:widowControl/>
      <w:tabs>
        <w:tab w:val="right" w:leader="middleDot" w:pos="9030"/>
      </w:tabs>
      <w:spacing w:line="360" w:lineRule="auto"/>
      <w:ind w:left="1155" w:right="266"/>
      <w:jc w:val="left"/>
    </w:pPr>
    <w:rPr>
      <w:rFonts w:ascii="Arial Narrow" w:hAnsi="Arial Narrow"/>
      <w:b/>
      <w:kern w:val="0"/>
      <w:szCs w:val="20"/>
    </w:rPr>
  </w:style>
  <w:style w:type="paragraph" w:styleId="22">
    <w:name w:val="Plain Text"/>
    <w:basedOn w:val="1"/>
    <w:link w:val="169"/>
    <w:qFormat/>
    <w:uiPriority w:val="0"/>
    <w:rPr>
      <w:rFonts w:ascii="Arial Narrow" w:hAnsi="Times New Roman" w:eastAsia="Arial Narrow"/>
      <w:szCs w:val="20"/>
    </w:rPr>
  </w:style>
  <w:style w:type="paragraph" w:styleId="23">
    <w:name w:val="toc 8"/>
    <w:basedOn w:val="1"/>
    <w:next w:val="1"/>
    <w:semiHidden/>
    <w:qFormat/>
    <w:uiPriority w:val="0"/>
    <w:pPr>
      <w:ind w:left="2940" w:leftChars="1400"/>
    </w:pPr>
    <w:rPr>
      <w:rFonts w:ascii="Times New Roman" w:hAnsi="Times New Roman"/>
    </w:rPr>
  </w:style>
  <w:style w:type="paragraph" w:styleId="24">
    <w:name w:val="Date"/>
    <w:basedOn w:val="1"/>
    <w:next w:val="1"/>
    <w:link w:val="199"/>
    <w:qFormat/>
    <w:uiPriority w:val="0"/>
    <w:pPr>
      <w:ind w:left="100" w:leftChars="2500"/>
    </w:pPr>
    <w:rPr>
      <w:rFonts w:ascii="Arial Narrow" w:hAnsi="Arial Narrow" w:eastAsia="Arial Narrow"/>
      <w:sz w:val="24"/>
      <w:szCs w:val="21"/>
    </w:rPr>
  </w:style>
  <w:style w:type="paragraph" w:styleId="25">
    <w:name w:val="Balloon Text"/>
    <w:basedOn w:val="1"/>
    <w:qFormat/>
    <w:uiPriority w:val="0"/>
    <w:rPr>
      <w:sz w:val="18"/>
      <w:szCs w:val="18"/>
    </w:rPr>
  </w:style>
  <w:style w:type="paragraph" w:styleId="26">
    <w:name w:val="footer"/>
    <w:basedOn w:val="1"/>
    <w:qFormat/>
    <w:uiPriority w:val="0"/>
    <w:pPr>
      <w:tabs>
        <w:tab w:val="center" w:pos="4153"/>
        <w:tab w:val="right" w:pos="8306"/>
      </w:tabs>
      <w:snapToGrid w:val="0"/>
      <w:jc w:val="left"/>
    </w:pPr>
    <w:rPr>
      <w:sz w:val="18"/>
      <w:szCs w:val="18"/>
    </w:rPr>
  </w:style>
  <w:style w:type="paragraph" w:styleId="27">
    <w:name w:val="header"/>
    <w:basedOn w:val="1"/>
    <w:link w:val="192"/>
    <w:qFormat/>
    <w:uiPriority w:val="0"/>
    <w:pPr>
      <w:pBdr>
        <w:bottom w:val="single" w:color="auto" w:sz="6" w:space="1"/>
      </w:pBdr>
      <w:tabs>
        <w:tab w:val="center" w:pos="4153"/>
        <w:tab w:val="right" w:pos="8306"/>
      </w:tabs>
      <w:snapToGrid w:val="0"/>
      <w:jc w:val="center"/>
    </w:pPr>
    <w:rPr>
      <w:rFonts w:eastAsia="Arial Narrow"/>
      <w:sz w:val="18"/>
      <w:szCs w:val="18"/>
    </w:rPr>
  </w:style>
  <w:style w:type="paragraph" w:styleId="28">
    <w:name w:val="toc 1"/>
    <w:basedOn w:val="1"/>
    <w:next w:val="1"/>
    <w:qFormat/>
    <w:uiPriority w:val="39"/>
  </w:style>
  <w:style w:type="paragraph" w:styleId="29">
    <w:name w:val="toc 4"/>
    <w:basedOn w:val="1"/>
    <w:next w:val="1"/>
    <w:qFormat/>
    <w:uiPriority w:val="0"/>
    <w:pPr>
      <w:ind w:left="1260"/>
    </w:pPr>
  </w:style>
  <w:style w:type="paragraph" w:styleId="30">
    <w:name w:val="toc 6"/>
    <w:basedOn w:val="1"/>
    <w:next w:val="1"/>
    <w:semiHidden/>
    <w:qFormat/>
    <w:uiPriority w:val="0"/>
    <w:pPr>
      <w:ind w:left="2100" w:leftChars="1000"/>
    </w:pPr>
    <w:rPr>
      <w:rFonts w:ascii="Times New Roman" w:hAnsi="Times New Roman"/>
    </w:rPr>
  </w:style>
  <w:style w:type="paragraph" w:styleId="31">
    <w:name w:val="Body Text Indent 3"/>
    <w:basedOn w:val="1"/>
    <w:qFormat/>
    <w:uiPriority w:val="0"/>
    <w:pPr>
      <w:spacing w:line="540" w:lineRule="atLeast"/>
      <w:ind w:firstLine="480" w:firstLineChars="200"/>
    </w:pPr>
    <w:rPr>
      <w:sz w:val="24"/>
    </w:rPr>
  </w:style>
  <w:style w:type="paragraph" w:styleId="32">
    <w:name w:val="table of figures"/>
    <w:basedOn w:val="1"/>
    <w:next w:val="1"/>
    <w:qFormat/>
    <w:uiPriority w:val="0"/>
    <w:pPr>
      <w:ind w:leftChars="200" w:hanging="200" w:hangingChars="200"/>
    </w:pPr>
  </w:style>
  <w:style w:type="paragraph" w:styleId="33">
    <w:name w:val="toc 2"/>
    <w:basedOn w:val="1"/>
    <w:next w:val="1"/>
    <w:qFormat/>
    <w:uiPriority w:val="39"/>
    <w:pPr>
      <w:spacing w:line="360" w:lineRule="auto"/>
      <w:ind w:left="200" w:leftChars="200"/>
    </w:pPr>
    <w:rPr>
      <w:sz w:val="24"/>
    </w:rPr>
  </w:style>
  <w:style w:type="paragraph" w:styleId="34">
    <w:name w:val="toc 9"/>
    <w:basedOn w:val="1"/>
    <w:next w:val="1"/>
    <w:semiHidden/>
    <w:qFormat/>
    <w:uiPriority w:val="0"/>
    <w:pPr>
      <w:ind w:left="3360" w:leftChars="1600"/>
    </w:pPr>
    <w:rPr>
      <w:rFonts w:ascii="Times New Roman" w:hAnsi="Times New Roman"/>
    </w:rPr>
  </w:style>
  <w:style w:type="paragraph" w:styleId="35">
    <w:name w:val="Body Text 2"/>
    <w:basedOn w:val="1"/>
    <w:qFormat/>
    <w:uiPriority w:val="0"/>
    <w:pPr>
      <w:spacing w:after="120" w:afterLines="0" w:line="480" w:lineRule="auto"/>
    </w:pPr>
  </w:style>
  <w:style w:type="paragraph" w:styleId="36">
    <w:name w:val="Normal (Web)"/>
    <w:basedOn w:val="1"/>
    <w:qFormat/>
    <w:uiPriority w:val="0"/>
    <w:pPr>
      <w:widowControl/>
      <w:spacing w:before="100" w:beforeLines="0" w:beforeAutospacing="1" w:after="100" w:afterLines="0" w:afterAutospacing="1"/>
      <w:jc w:val="left"/>
    </w:pPr>
    <w:rPr>
      <w:rFonts w:ascii="Arial Narrow" w:hAnsi="Arial Narrow" w:cs="Arial Narrow"/>
      <w:kern w:val="0"/>
      <w:sz w:val="24"/>
    </w:rPr>
  </w:style>
  <w:style w:type="paragraph" w:styleId="37">
    <w:name w:val="index 1"/>
    <w:basedOn w:val="1"/>
    <w:next w:val="1"/>
    <w:qFormat/>
    <w:uiPriority w:val="0"/>
  </w:style>
  <w:style w:type="paragraph" w:styleId="38">
    <w:name w:val="Title"/>
    <w:basedOn w:val="1"/>
    <w:next w:val="1"/>
    <w:qFormat/>
    <w:uiPriority w:val="0"/>
    <w:pPr>
      <w:jc w:val="center"/>
      <w:outlineLvl w:val="0"/>
    </w:pPr>
    <w:rPr>
      <w:rFonts w:ascii="Arial" w:hAnsi="Arial"/>
      <w:b/>
      <w:bCs/>
      <w:sz w:val="32"/>
      <w:szCs w:val="32"/>
    </w:rPr>
  </w:style>
  <w:style w:type="paragraph" w:styleId="39">
    <w:name w:val="annotation subject"/>
    <w:basedOn w:val="15"/>
    <w:next w:val="15"/>
    <w:qFormat/>
    <w:uiPriority w:val="0"/>
    <w:rPr>
      <w:b/>
      <w:bCs/>
    </w:rPr>
  </w:style>
  <w:style w:type="table" w:styleId="41">
    <w:name w:val="Table Grid"/>
    <w:basedOn w:val="4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basedOn w:val="42"/>
    <w:qFormat/>
    <w:uiPriority w:val="0"/>
    <w:rPr>
      <w:b/>
      <w:bCs/>
    </w:rPr>
  </w:style>
  <w:style w:type="character" w:styleId="44">
    <w:name w:val="page number"/>
    <w:basedOn w:val="42"/>
    <w:qFormat/>
    <w:uiPriority w:val="0"/>
  </w:style>
  <w:style w:type="character" w:styleId="45">
    <w:name w:val="FollowedHyperlink"/>
    <w:qFormat/>
    <w:uiPriority w:val="0"/>
    <w:rPr>
      <w:color w:val="800080"/>
      <w:u w:val="single"/>
    </w:rPr>
  </w:style>
  <w:style w:type="character" w:styleId="46">
    <w:name w:val="Emphasis"/>
    <w:qFormat/>
    <w:uiPriority w:val="20"/>
    <w:rPr>
      <w:rFonts w:ascii="ˎ̥" w:hAnsi="ˎ̥" w:eastAsia="CG Times"/>
      <w:b/>
      <w:spacing w:val="0"/>
      <w:sz w:val="21"/>
      <w:lang w:eastAsia="zh-CN"/>
    </w:rPr>
  </w:style>
  <w:style w:type="character" w:styleId="47">
    <w:name w:val="Hyperlink"/>
    <w:qFormat/>
    <w:uiPriority w:val="99"/>
    <w:rPr>
      <w:color w:val="0000FF"/>
      <w:u w:val="single"/>
    </w:rPr>
  </w:style>
  <w:style w:type="character" w:styleId="48">
    <w:name w:val="annotation reference"/>
    <w:qFormat/>
    <w:uiPriority w:val="0"/>
    <w:rPr>
      <w:sz w:val="21"/>
      <w:szCs w:val="21"/>
    </w:rPr>
  </w:style>
  <w:style w:type="paragraph" w:customStyle="1" w:styleId="49">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24"/>
    </w:rPr>
  </w:style>
  <w:style w:type="paragraph" w:customStyle="1" w:styleId="50">
    <w:name w:val="纯文本1"/>
    <w:basedOn w:val="1"/>
    <w:qFormat/>
    <w:uiPriority w:val="0"/>
    <w:rPr>
      <w:rFonts w:ascii="宋体" w:hAnsi="Courier New"/>
      <w:szCs w:val="20"/>
    </w:rPr>
  </w:style>
  <w:style w:type="paragraph" w:customStyle="1" w:styleId="51">
    <w:name w:val="Char Char2 Char Char"/>
    <w:basedOn w:val="14"/>
    <w:qFormat/>
    <w:uiPriority w:val="0"/>
    <w:rPr>
      <w:rFonts w:ascii="Calibri" w:hAnsi="Calibri"/>
      <w:szCs w:val="22"/>
    </w:rPr>
  </w:style>
  <w:style w:type="paragraph" w:customStyle="1" w:styleId="52">
    <w:name w:val="Char Char3"/>
    <w:basedOn w:val="1"/>
    <w:qFormat/>
    <w:uiPriority w:val="0"/>
    <w:rPr>
      <w:rFonts w:ascii="Tahoma" w:hAnsi="Tahoma"/>
      <w:sz w:val="24"/>
      <w:szCs w:val="20"/>
    </w:rPr>
  </w:style>
  <w:style w:type="paragraph" w:customStyle="1" w:styleId="53">
    <w:name w:val="xl22"/>
    <w:basedOn w:val="1"/>
    <w:qFormat/>
    <w:uiPriority w:val="0"/>
    <w:pPr>
      <w:widowControl/>
      <w:spacing w:before="100" w:beforeLines="0" w:beforeAutospacing="1" w:after="100" w:afterLines="0" w:afterAutospacing="1"/>
      <w:jc w:val="center"/>
    </w:pPr>
    <w:rPr>
      <w:rFonts w:ascii="Arial Narrow" w:hAnsi="Arial Narrow"/>
      <w:kern w:val="0"/>
      <w:sz w:val="24"/>
      <w:szCs w:val="20"/>
    </w:rPr>
  </w:style>
  <w:style w:type="paragraph" w:customStyle="1" w:styleId="54">
    <w:name w:val="1 Char Char Char"/>
    <w:basedOn w:val="1"/>
    <w:next w:val="6"/>
    <w:qFormat/>
    <w:uiPriority w:val="0"/>
    <w:pPr>
      <w:spacing w:line="500" w:lineRule="exact"/>
      <w:ind w:firstLine="200"/>
      <w:jc w:val="center"/>
    </w:pPr>
    <w:rPr>
      <w:rFonts w:ascii="Times" w:hAnsi="Symbol" w:eastAsia="Times" w:cs="Symbol"/>
      <w:bCs/>
      <w:sz w:val="32"/>
      <w:szCs w:val="32"/>
    </w:rPr>
  </w:style>
  <w:style w:type="paragraph" w:customStyle="1" w:styleId="55">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6">
    <w:name w:val="正文_0_8_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3"/>
    <w:basedOn w:val="14"/>
    <w:qFormat/>
    <w:uiPriority w:val="0"/>
    <w:rPr>
      <w:rFonts w:ascii="Times New Roman" w:hAnsi="Times New Roman"/>
    </w:rPr>
  </w:style>
  <w:style w:type="paragraph" w:customStyle="1" w:styleId="5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9">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 Char Char2 Char Char"/>
    <w:basedOn w:val="14"/>
    <w:qFormat/>
    <w:uiPriority w:val="0"/>
    <w:rPr>
      <w:rFonts w:ascii="Calibri" w:hAnsi="Calibri"/>
      <w:szCs w:val="22"/>
    </w:rPr>
  </w:style>
  <w:style w:type="paragraph" w:customStyle="1" w:styleId="61">
    <w:name w:val="默认段落字体 Para Char"/>
    <w:basedOn w:val="1"/>
    <w:qFormat/>
    <w:uiPriority w:val="0"/>
    <w:pPr>
      <w:spacing w:line="500" w:lineRule="exact"/>
    </w:pPr>
    <w:rPr>
      <w:rFonts w:ascii="宋体" w:hAnsi="宋体"/>
      <w:kern w:val="0"/>
      <w:sz w:val="24"/>
    </w:rPr>
  </w:style>
  <w:style w:type="paragraph" w:customStyle="1" w:styleId="6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6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正文_14_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
    <w:name w:val="Char Char Char Char"/>
    <w:basedOn w:val="1"/>
    <w:qFormat/>
    <w:uiPriority w:val="0"/>
    <w:rPr>
      <w:rFonts w:ascii="HYg2gj" w:hAnsi="HYg2gj"/>
      <w:sz w:val="24"/>
      <w:szCs w:val="20"/>
    </w:rPr>
  </w:style>
  <w:style w:type="paragraph" w:customStyle="1" w:styleId="66">
    <w:name w:val="样式 宋体 行距1.5"/>
    <w:basedOn w:val="1"/>
    <w:qFormat/>
    <w:uiPriority w:val="0"/>
    <w:pPr>
      <w:jc w:val="center"/>
    </w:pPr>
    <w:rPr>
      <w:rFonts w:ascii="宋体" w:hAnsi="宋体" w:cs="宋体"/>
      <w:szCs w:val="20"/>
    </w:rPr>
  </w:style>
  <w:style w:type="paragraph" w:customStyle="1" w:styleId="67">
    <w:name w:val="正文_23_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8">
    <w:name w:val="_Style 67"/>
    <w:basedOn w:val="1"/>
    <w:next w:val="1"/>
    <w:qFormat/>
    <w:uiPriority w:val="0"/>
    <w:pPr>
      <w:pBdr>
        <w:bottom w:val="single" w:color="auto" w:sz="6" w:space="1"/>
      </w:pBdr>
      <w:jc w:val="center"/>
    </w:pPr>
    <w:rPr>
      <w:rFonts w:ascii="Symbol" w:hAnsi="Symbol" w:cs="Symbol"/>
      <w:vanish/>
      <w:sz w:val="16"/>
      <w:szCs w:val="16"/>
    </w:rPr>
  </w:style>
  <w:style w:type="paragraph" w:customStyle="1" w:styleId="69">
    <w:name w:val="Char Char2 Char"/>
    <w:basedOn w:val="1"/>
    <w:qFormat/>
    <w:uiPriority w:val="0"/>
    <w:rPr>
      <w:rFonts w:ascii="HYg2gj" w:hAnsi="HYg2gj"/>
      <w:sz w:val="24"/>
      <w:szCs w:val="20"/>
    </w:rPr>
  </w:style>
  <w:style w:type="paragraph" w:customStyle="1" w:styleId="70">
    <w:name w:val="正文样式"/>
    <w:basedOn w:val="1"/>
    <w:link w:val="181"/>
    <w:qFormat/>
    <w:uiPriority w:val="0"/>
    <w:pPr>
      <w:spacing w:line="360" w:lineRule="auto"/>
      <w:ind w:firstLine="200" w:firstLineChars="200"/>
      <w:jc w:val="left"/>
    </w:pPr>
    <w:rPr>
      <w:rFonts w:ascii="Calibri" w:hAnsi="Calibri"/>
      <w:sz w:val="28"/>
      <w:szCs w:val="21"/>
    </w:rPr>
  </w:style>
  <w:style w:type="paragraph" w:customStyle="1" w:styleId="71">
    <w:name w:val="正文段"/>
    <w:basedOn w:val="1"/>
    <w:qFormat/>
    <w:uiPriority w:val="0"/>
    <w:pPr>
      <w:spacing w:line="360" w:lineRule="auto"/>
      <w:ind w:firstLine="420"/>
    </w:pPr>
    <w:rPr>
      <w:rFonts w:ascii="Arial Narrow"/>
      <w:sz w:val="24"/>
    </w:rPr>
  </w:style>
  <w:style w:type="paragraph" w:customStyle="1" w:styleId="72">
    <w:name w:val="正文_10_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3">
    <w:name w:val="图片"/>
    <w:basedOn w:val="5"/>
    <w:next w:val="5"/>
    <w:link w:val="180"/>
    <w:qFormat/>
    <w:uiPriority w:val="0"/>
    <w:pPr>
      <w:spacing w:line="360" w:lineRule="auto"/>
      <w:ind w:firstLine="0"/>
      <w:jc w:val="center"/>
    </w:pPr>
    <w:rPr>
      <w:rFonts w:eastAsia="宋体"/>
      <w:sz w:val="24"/>
    </w:rPr>
  </w:style>
  <w:style w:type="paragraph" w:customStyle="1" w:styleId="74">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75">
    <w:name w:val="Char Char Char Char Char Char Char Char Char Char"/>
    <w:basedOn w:val="1"/>
    <w:qFormat/>
    <w:uiPriority w:val="0"/>
    <w:rPr>
      <w:rFonts w:ascii="HYg2gj" w:hAnsi="HYg2gj"/>
      <w:sz w:val="24"/>
      <w:szCs w:val="20"/>
    </w:rPr>
  </w:style>
  <w:style w:type="paragraph" w:customStyle="1" w:styleId="76">
    <w:name w:val="列出段落2"/>
    <w:basedOn w:val="1"/>
    <w:qFormat/>
    <w:uiPriority w:val="34"/>
    <w:pPr>
      <w:ind w:firstLine="420" w:firstLineChars="200"/>
    </w:pPr>
    <w:rPr>
      <w:rFonts w:ascii="Calibri" w:hAnsi="Calibri"/>
      <w:szCs w:val="22"/>
    </w:rPr>
  </w:style>
  <w:style w:type="paragraph" w:customStyle="1" w:styleId="77">
    <w:name w:val=" Char Char Char"/>
    <w:basedOn w:val="1"/>
    <w:qFormat/>
    <w:uiPriority w:val="0"/>
    <w:pPr>
      <w:tabs>
        <w:tab w:val="left" w:pos="920"/>
      </w:tabs>
      <w:ind w:left="625" w:hanging="425"/>
    </w:pPr>
    <w:rPr>
      <w:rFonts w:ascii="Times New Roman" w:hAnsi="Times New Roman"/>
    </w:rPr>
  </w:style>
  <w:style w:type="paragraph" w:customStyle="1" w:styleId="7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79">
    <w:name w:val="List Paragraph"/>
    <w:basedOn w:val="1"/>
    <w:link w:val="189"/>
    <w:qFormat/>
    <w:uiPriority w:val="34"/>
    <w:pPr>
      <w:ind w:firstLine="420" w:firstLineChars="200"/>
    </w:pPr>
    <w:rPr>
      <w:rFonts w:ascii="Calibri" w:hAnsi="Calibri"/>
      <w:szCs w:val="22"/>
    </w:rPr>
  </w:style>
  <w:style w:type="paragraph" w:customStyle="1" w:styleId="80">
    <w:name w:val="样式1"/>
    <w:basedOn w:val="1"/>
    <w:qFormat/>
    <w:uiPriority w:val="0"/>
    <w:pPr>
      <w:spacing w:line="360" w:lineRule="auto"/>
      <w:jc w:val="center"/>
    </w:pPr>
    <w:rPr>
      <w:rFonts w:ascii="Arial Narrow" w:hAnsi="Arial Narrow"/>
      <w:b/>
      <w:sz w:val="32"/>
      <w:szCs w:val="30"/>
    </w:rPr>
  </w:style>
  <w:style w:type="paragraph" w:customStyle="1" w:styleId="81">
    <w:name w:val="19"/>
    <w:basedOn w:val="1"/>
    <w:qFormat/>
    <w:uiPriority w:val="0"/>
    <w:pPr>
      <w:widowControl/>
      <w:snapToGrid w:val="0"/>
      <w:spacing w:before="100" w:beforeLines="0" w:beforeAutospacing="1" w:after="120" w:afterLines="0" w:line="360" w:lineRule="atLeast"/>
      <w:jc w:val="left"/>
    </w:pPr>
    <w:rPr>
      <w:rFonts w:ascii="Arial Narrow" w:hAnsi="Arial Narrow"/>
      <w:kern w:val="0"/>
      <w:sz w:val="28"/>
      <w:szCs w:val="20"/>
    </w:rPr>
  </w:style>
  <w:style w:type="paragraph" w:customStyle="1" w:styleId="82">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83">
    <w:name w:val="font6"/>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84">
    <w:name w:val="末级"/>
    <w:basedOn w:val="1"/>
    <w:qFormat/>
    <w:uiPriority w:val="0"/>
    <w:pPr>
      <w:tabs>
        <w:tab w:val="left" w:pos="705"/>
      </w:tabs>
      <w:spacing w:line="360" w:lineRule="auto"/>
      <w:ind w:left="705" w:firstLine="510"/>
    </w:pPr>
    <w:rPr>
      <w:sz w:val="24"/>
    </w:rPr>
  </w:style>
  <w:style w:type="paragraph" w:customStyle="1" w:styleId="85">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86">
    <w:name w:val="Default"/>
    <w:qFormat/>
    <w:uiPriority w:val="0"/>
    <w:pPr>
      <w:widowControl w:val="0"/>
      <w:autoSpaceDE w:val="0"/>
      <w:autoSpaceDN w:val="0"/>
      <w:adjustRightInd w:val="0"/>
    </w:pPr>
    <w:rPr>
      <w:rFonts w:ascii="Arial Narrow" w:hAnsi="Calibri" w:eastAsia="宋体" w:cs="Times New Roman"/>
      <w:color w:val="000000"/>
      <w:sz w:val="24"/>
      <w:szCs w:val="24"/>
      <w:lang w:val="en-US" w:eastAsia="zh-CN" w:bidi="ar-SA"/>
    </w:rPr>
  </w:style>
  <w:style w:type="paragraph" w:customStyle="1" w:styleId="87">
    <w:name w:val="0"/>
    <w:basedOn w:val="1"/>
    <w:qFormat/>
    <w:uiPriority w:val="0"/>
    <w:pPr>
      <w:widowControl/>
    </w:pPr>
    <w:rPr>
      <w:kern w:val="0"/>
      <w:szCs w:val="20"/>
    </w:rPr>
  </w:style>
  <w:style w:type="paragraph" w:customStyle="1" w:styleId="88">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color w:val="000000"/>
      <w:kern w:val="0"/>
      <w:sz w:val="24"/>
    </w:rPr>
  </w:style>
  <w:style w:type="paragraph" w:customStyle="1" w:styleId="89">
    <w:name w:val=" Char Char3 Char Char"/>
    <w:basedOn w:val="1"/>
    <w:qFormat/>
    <w:uiPriority w:val="0"/>
    <w:rPr>
      <w:rFonts w:ascii="Tahoma" w:hAnsi="Tahoma"/>
      <w:sz w:val="24"/>
      <w:szCs w:val="20"/>
    </w:rPr>
  </w:style>
  <w:style w:type="paragraph" w:customStyle="1" w:styleId="90">
    <w:name w:val="xl100"/>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91">
    <w:name w:val=" Char Char2 Char"/>
    <w:basedOn w:val="1"/>
    <w:qFormat/>
    <w:uiPriority w:val="0"/>
    <w:rPr>
      <w:rFonts w:ascii="HYg2gj" w:hAnsi="HYg2gj"/>
      <w:sz w:val="24"/>
      <w:szCs w:val="20"/>
    </w:rPr>
  </w:style>
  <w:style w:type="paragraph" w:customStyle="1" w:styleId="92">
    <w:name w:val=" Char Char Char1 Char"/>
    <w:basedOn w:val="14"/>
    <w:qFormat/>
    <w:uiPriority w:val="0"/>
    <w:rPr>
      <w:rFonts w:ascii="Tahoma" w:hAnsi="Tahoma"/>
      <w:sz w:val="24"/>
    </w:rPr>
  </w:style>
  <w:style w:type="paragraph" w:customStyle="1" w:styleId="93">
    <w:name w:val="样式3"/>
    <w:basedOn w:val="22"/>
    <w:link w:val="198"/>
    <w:qFormat/>
    <w:uiPriority w:val="0"/>
    <w:pPr>
      <w:spacing w:line="0" w:lineRule="atLeast"/>
      <w:outlineLvl w:val="0"/>
    </w:pPr>
    <w:rPr>
      <w:rFonts w:hAnsi="黑体"/>
      <w:sz w:val="28"/>
    </w:rPr>
  </w:style>
  <w:style w:type="paragraph" w:customStyle="1" w:styleId="94">
    <w:name w:val="Plain Text"/>
    <w:basedOn w:val="1"/>
    <w:qFormat/>
    <w:uiPriority w:val="0"/>
    <w:rPr>
      <w:rFonts w:ascii="宋体" w:hAnsi="Courier New"/>
    </w:rPr>
  </w:style>
  <w:style w:type="paragraph" w:customStyle="1" w:styleId="9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96">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97">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98">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9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100">
    <w:name w:val="表1"/>
    <w:basedOn w:val="1"/>
    <w:qFormat/>
    <w:uiPriority w:val="0"/>
    <w:pPr>
      <w:tabs>
        <w:tab w:val="left" w:pos="720"/>
      </w:tabs>
      <w:overflowPunct w:val="0"/>
      <w:autoSpaceDE w:val="0"/>
      <w:autoSpaceDN w:val="0"/>
      <w:adjustRightInd w:val="0"/>
      <w:spacing w:before="200" w:beforeLines="0" w:line="320" w:lineRule="atLeast"/>
      <w:ind w:left="705" w:hanging="705"/>
      <w:textAlignment w:val="baseline"/>
    </w:pPr>
    <w:rPr>
      <w:kern w:val="0"/>
      <w:sz w:val="24"/>
      <w:szCs w:val="20"/>
    </w:rPr>
  </w:style>
  <w:style w:type="paragraph" w:customStyle="1" w:styleId="101">
    <w:name w:val="正文_7_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2">
    <w:name w:val="footer"/>
    <w:basedOn w:val="1"/>
    <w:qFormat/>
    <w:uiPriority w:val="0"/>
    <w:pPr>
      <w:tabs>
        <w:tab w:val="center" w:pos="4153"/>
        <w:tab w:val="right" w:pos="8306"/>
      </w:tabs>
      <w:snapToGrid w:val="0"/>
      <w:jc w:val="left"/>
    </w:pPr>
    <w:rPr>
      <w:sz w:val="18"/>
    </w:rPr>
  </w:style>
  <w:style w:type="paragraph" w:customStyle="1" w:styleId="103">
    <w:name w:val="报告正文"/>
    <w:basedOn w:val="1"/>
    <w:qFormat/>
    <w:uiPriority w:val="0"/>
    <w:pPr>
      <w:spacing w:line="400" w:lineRule="exact"/>
      <w:ind w:firstLine="482"/>
    </w:pPr>
    <w:rPr>
      <w:sz w:val="24"/>
    </w:rPr>
  </w:style>
  <w:style w:type="paragraph" w:customStyle="1" w:styleId="10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05">
    <w:name w:val="Char Char3 Char Char Char Char"/>
    <w:basedOn w:val="1"/>
    <w:qFormat/>
    <w:uiPriority w:val="0"/>
    <w:rPr>
      <w:rFonts w:ascii="Tahoma" w:hAnsi="Tahoma"/>
      <w:sz w:val="24"/>
      <w:szCs w:val="20"/>
    </w:rPr>
  </w:style>
  <w:style w:type="paragraph" w:customStyle="1" w:styleId="106">
    <w:name w:val="Normal1"/>
    <w:next w:val="1"/>
    <w:qFormat/>
    <w:uiPriority w:val="0"/>
    <w:pPr>
      <w:overflowPunct w:val="0"/>
      <w:autoSpaceDE w:val="0"/>
      <w:autoSpaceDN w:val="0"/>
      <w:adjustRightInd w:val="0"/>
      <w:textAlignment w:val="baseline"/>
    </w:pPr>
    <w:rPr>
      <w:rFonts w:ascii="Tahoma" w:hAnsi="Tahoma" w:eastAsia="宋体" w:cs="Times New Roman"/>
      <w:sz w:val="24"/>
      <w:lang w:val="fr-FR" w:eastAsia="zh-CN" w:bidi="ar-SA"/>
    </w:rPr>
  </w:style>
  <w:style w:type="paragraph" w:customStyle="1" w:styleId="10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0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09">
    <w:name w:val="Document Label"/>
    <w:basedOn w:val="1"/>
    <w:qFormat/>
    <w:uiPriority w:val="0"/>
    <w:pPr>
      <w:keepNext/>
      <w:keepLines/>
      <w:widowControl/>
      <w:spacing w:before="400" w:beforeLines="0" w:after="120" w:afterLines="0" w:line="240" w:lineRule="atLeast"/>
      <w:jc w:val="left"/>
    </w:pPr>
    <w:rPr>
      <w:rFonts w:ascii="ˎ̥" w:hAnsi="ˎ̥"/>
      <w:spacing w:val="-100"/>
      <w:kern w:val="28"/>
      <w:sz w:val="108"/>
      <w:szCs w:val="20"/>
      <w:lang w:bidi="he-IL"/>
    </w:rPr>
  </w:style>
  <w:style w:type="paragraph" w:customStyle="1" w:styleId="110">
    <w:name w:val="No Spacing"/>
    <w:qFormat/>
    <w:uiPriority w:val="0"/>
    <w:rPr>
      <w:rFonts w:ascii="Times New Roman" w:hAnsi="Times New Roman" w:eastAsia="宋体" w:cs="Times New Roman"/>
      <w:sz w:val="24"/>
      <w:szCs w:val="24"/>
      <w:lang w:val="en-US" w:eastAsia="zh-CN" w:bidi="ar-SA"/>
    </w:rPr>
  </w:style>
  <w:style w:type="paragraph" w:customStyle="1" w:styleId="111">
    <w:name w:val="Char"/>
    <w:basedOn w:val="1"/>
    <w:qFormat/>
    <w:uiPriority w:val="0"/>
    <w:pPr>
      <w:widowControl/>
      <w:spacing w:after="160" w:afterLines="0" w:line="240" w:lineRule="exact"/>
      <w:jc w:val="left"/>
    </w:pPr>
    <w:rPr>
      <w:rFonts w:ascii="Dotum" w:hAnsi="Dotum"/>
      <w:kern w:val="0"/>
      <w:sz w:val="20"/>
      <w:szCs w:val="20"/>
      <w:lang w:eastAsia="en-US"/>
    </w:rPr>
  </w:style>
  <w:style w:type="paragraph" w:customStyle="1" w:styleId="112">
    <w:name w:val="Char Char1 Char Char Char Char Char Char Char Char Char Char Char Char Char Char Char"/>
    <w:basedOn w:val="1"/>
    <w:qFormat/>
    <w:uiPriority w:val="0"/>
    <w:pPr>
      <w:widowControl/>
      <w:spacing w:after="160" w:afterLines="0" w:line="240" w:lineRule="exact"/>
      <w:jc w:val="left"/>
    </w:pPr>
    <w:rPr>
      <w:rFonts w:ascii="Verdana" w:hAnsi="Verdana" w:cs="Times New Roman"/>
      <w:kern w:val="0"/>
      <w:sz w:val="20"/>
      <w:szCs w:val="20"/>
      <w:lang w:eastAsia="en-US"/>
    </w:rPr>
  </w:style>
  <w:style w:type="paragraph" w:customStyle="1" w:styleId="113">
    <w:name w:val="样式2"/>
    <w:basedOn w:val="32"/>
    <w:qFormat/>
    <w:uiPriority w:val="0"/>
    <w:pPr>
      <w:ind w:firstLine="2720"/>
    </w:pPr>
    <w:rPr>
      <w:bCs/>
    </w:rPr>
  </w:style>
  <w:style w:type="paragraph" w:customStyle="1" w:styleId="114">
    <w:name w:val="header"/>
    <w:basedOn w:val="1"/>
    <w:qFormat/>
    <w:uiPriority w:val="0"/>
    <w:pPr>
      <w:pBdr>
        <w:bottom w:val="single" w:color="auto" w:sz="6" w:space="1"/>
      </w:pBdr>
      <w:tabs>
        <w:tab w:val="center" w:pos="4153"/>
        <w:tab w:val="right" w:pos="8306"/>
      </w:tabs>
      <w:snapToGrid w:val="0"/>
      <w:jc w:val="center"/>
    </w:pPr>
    <w:rPr>
      <w:sz w:val="18"/>
    </w:rPr>
  </w:style>
  <w:style w:type="paragraph" w:customStyle="1" w:styleId="115">
    <w:name w:val=" Char Char Char Char Char Char Char"/>
    <w:basedOn w:val="1"/>
    <w:qFormat/>
    <w:uiPriority w:val="0"/>
    <w:rPr>
      <w:rFonts w:ascii="HYg2gj" w:hAnsi="HYg2gj"/>
      <w:sz w:val="24"/>
      <w:szCs w:val="20"/>
    </w:rPr>
  </w:style>
  <w:style w:type="paragraph" w:customStyle="1" w:styleId="116">
    <w:name w:val=" Char Char3 Char Char Char Char"/>
    <w:basedOn w:val="1"/>
    <w:qFormat/>
    <w:uiPriority w:val="0"/>
    <w:rPr>
      <w:rFonts w:ascii="Tahoma" w:hAnsi="Tahoma"/>
      <w:sz w:val="24"/>
      <w:szCs w:val="20"/>
    </w:rPr>
  </w:style>
  <w:style w:type="paragraph" w:customStyle="1" w:styleId="117">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18">
    <w:name w:val=" Char Char Char Char"/>
    <w:basedOn w:val="1"/>
    <w:qFormat/>
    <w:uiPriority w:val="0"/>
    <w:rPr>
      <w:rFonts w:ascii="HYg2gj" w:hAnsi="HYg2gj"/>
      <w:sz w:val="24"/>
      <w:szCs w:val="20"/>
    </w:rPr>
  </w:style>
  <w:style w:type="paragraph" w:customStyle="1" w:styleId="119">
    <w:name w:val="默认段落字体 Para Char Char Char Char Char Char Char Char Char1 Char Char Char Char Char Char Char"/>
    <w:basedOn w:val="14"/>
    <w:qFormat/>
    <w:uiPriority w:val="0"/>
    <w:rPr>
      <w:rFonts w:ascii="Times New Roman" w:hAnsi="Times New Roman"/>
    </w:rPr>
  </w:style>
  <w:style w:type="paragraph" w:customStyle="1" w:styleId="120">
    <w:name w:val="_Style 119"/>
    <w:basedOn w:val="1"/>
    <w:next w:val="1"/>
    <w:qFormat/>
    <w:uiPriority w:val="0"/>
    <w:pPr>
      <w:pBdr>
        <w:top w:val="single" w:color="auto" w:sz="6" w:space="1"/>
      </w:pBdr>
      <w:jc w:val="center"/>
    </w:pPr>
    <w:rPr>
      <w:rFonts w:ascii="Symbol" w:hAnsi="Symbol" w:cs="Symbol"/>
      <w:vanish/>
      <w:sz w:val="16"/>
      <w:szCs w:val="16"/>
    </w:rPr>
  </w:style>
  <w:style w:type="paragraph" w:customStyle="1" w:styleId="12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22">
    <w:name w:val="正文_17_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
    <w:name w:val="Char Char"/>
    <w:basedOn w:val="1"/>
    <w:qFormat/>
    <w:uiPriority w:val="0"/>
    <w:rPr>
      <w:rFonts w:ascii="HYg2gj" w:hAnsi="HYg2gj"/>
      <w:sz w:val="24"/>
      <w:szCs w:val="20"/>
    </w:rPr>
  </w:style>
  <w:style w:type="paragraph" w:customStyle="1" w:styleId="124">
    <w:name w:val="正文_7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26">
    <w:name w:val="Normal Indent"/>
    <w:basedOn w:val="1"/>
    <w:qFormat/>
    <w:uiPriority w:val="0"/>
    <w:pPr>
      <w:ind w:firstLine="420"/>
    </w:pPr>
  </w:style>
  <w:style w:type="paragraph" w:customStyle="1" w:styleId="127">
    <w:name w:val="Char Char9"/>
    <w:basedOn w:val="1"/>
    <w:qFormat/>
    <w:uiPriority w:val="0"/>
    <w:rPr>
      <w:rFonts w:ascii="Tahoma" w:hAnsi="Tahoma" w:eastAsia="Times New Roman"/>
      <w:kern w:val="0"/>
      <w:sz w:val="24"/>
      <w:szCs w:val="20"/>
    </w:rPr>
  </w:style>
  <w:style w:type="paragraph" w:customStyle="1" w:styleId="128">
    <w:name w:val="Char1 Char Char Char"/>
    <w:basedOn w:val="1"/>
    <w:qFormat/>
    <w:uiPriority w:val="0"/>
  </w:style>
  <w:style w:type="paragraph" w:customStyle="1" w:styleId="129">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color w:val="000000"/>
      <w:kern w:val="0"/>
      <w:sz w:val="24"/>
    </w:rPr>
  </w:style>
  <w:style w:type="paragraph" w:customStyle="1" w:styleId="130">
    <w:name w:val="Char Char Char"/>
    <w:basedOn w:val="1"/>
    <w:qFormat/>
    <w:uiPriority w:val="0"/>
    <w:rPr>
      <w:rFonts w:ascii="Tahoma" w:hAnsi="Tahoma" w:cs="Times New Roman"/>
      <w:sz w:val="24"/>
      <w:szCs w:val="20"/>
    </w:rPr>
  </w:style>
  <w:style w:type="paragraph" w:customStyle="1" w:styleId="131">
    <w:name w:val="标3"/>
    <w:basedOn w:val="1"/>
    <w:qFormat/>
    <w:uiPriority w:val="0"/>
    <w:pPr>
      <w:tabs>
        <w:tab w:val="left" w:pos="1965"/>
      </w:tabs>
      <w:adjustRightInd w:val="0"/>
      <w:snapToGrid w:val="0"/>
      <w:spacing w:before="50" w:beforeLines="0"/>
      <w:ind w:left="1965" w:hanging="420"/>
      <w:outlineLvl w:val="2"/>
    </w:pPr>
    <w:rPr>
      <w:rFonts w:ascii="Arial" w:hAnsi="Arial" w:eastAsia="Times"/>
      <w:sz w:val="28"/>
      <w:szCs w:val="20"/>
    </w:rPr>
  </w:style>
  <w:style w:type="paragraph" w:customStyle="1" w:styleId="132">
    <w:name w:val=" Char1"/>
    <w:basedOn w:val="1"/>
    <w:qFormat/>
    <w:uiPriority w:val="0"/>
    <w:rPr>
      <w:rFonts w:ascii="HYg2gj" w:hAnsi="HYg2gj"/>
      <w:sz w:val="24"/>
      <w:szCs w:val="20"/>
    </w:rPr>
  </w:style>
  <w:style w:type="paragraph" w:customStyle="1" w:styleId="133">
    <w:name w:val="_Style 132"/>
    <w:semiHidden/>
    <w:qFormat/>
    <w:uiPriority w:val="99"/>
    <w:rPr>
      <w:rFonts w:ascii="Calibri" w:hAnsi="Calibri" w:eastAsia="宋体" w:cs="Times New Roman"/>
      <w:kern w:val="2"/>
      <w:sz w:val="21"/>
      <w:szCs w:val="24"/>
      <w:lang w:val="en-US" w:eastAsia="zh-CN" w:bidi="ar-SA"/>
    </w:rPr>
  </w:style>
  <w:style w:type="paragraph" w:customStyle="1" w:styleId="13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24"/>
    </w:rPr>
  </w:style>
  <w:style w:type="paragraph" w:customStyle="1" w:styleId="135">
    <w:name w:val="表"/>
    <w:basedOn w:val="1"/>
    <w:qFormat/>
    <w:uiPriority w:val="0"/>
    <w:pPr>
      <w:spacing w:line="360" w:lineRule="auto"/>
      <w:jc w:val="center"/>
    </w:pPr>
    <w:rPr>
      <w:color w:val="000000"/>
      <w:szCs w:val="21"/>
    </w:rPr>
  </w:style>
  <w:style w:type="paragraph" w:customStyle="1" w:styleId="136">
    <w:name w:val="默认段落字体 Para Char Char Char Char"/>
    <w:basedOn w:val="1"/>
    <w:qFormat/>
    <w:uiPriority w:val="0"/>
    <w:pPr>
      <w:spacing w:line="360" w:lineRule="auto"/>
      <w:ind w:firstLine="200" w:firstLineChars="200"/>
    </w:pPr>
    <w:rPr>
      <w:rFonts w:ascii="Arial Narrow" w:hAnsi="Arial Narrow" w:cs="Arial Narrow"/>
      <w:sz w:val="24"/>
    </w:rPr>
  </w:style>
  <w:style w:type="paragraph" w:customStyle="1" w:styleId="137">
    <w:name w:val="xl92"/>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38">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39">
    <w:name w:val="font7"/>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40">
    <w:name w:val=" Char Char Char Char Char Char Char Char Char Char"/>
    <w:basedOn w:val="1"/>
    <w:qFormat/>
    <w:uiPriority w:val="0"/>
    <w:rPr>
      <w:rFonts w:ascii="HYg2gj" w:hAnsi="HYg2gj"/>
      <w:sz w:val="24"/>
      <w:szCs w:val="20"/>
    </w:rPr>
  </w:style>
  <w:style w:type="paragraph" w:customStyle="1" w:styleId="14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14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color w:val="000000"/>
      <w:kern w:val="0"/>
      <w:sz w:val="24"/>
    </w:rPr>
  </w:style>
  <w:style w:type="paragraph" w:customStyle="1" w:styleId="143">
    <w:name w:val="Char1 Char Char Char Char Char Char"/>
    <w:basedOn w:val="1"/>
    <w:qFormat/>
    <w:uiPriority w:val="0"/>
    <w:rPr>
      <w:rFonts w:ascii="HYg2gj" w:hAnsi="HYg2gj"/>
      <w:sz w:val="24"/>
      <w:szCs w:val="20"/>
    </w:rPr>
  </w:style>
  <w:style w:type="paragraph" w:customStyle="1" w:styleId="14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color w:val="000000"/>
      <w:kern w:val="0"/>
      <w:sz w:val="24"/>
    </w:rPr>
  </w:style>
  <w:style w:type="paragraph" w:customStyle="1" w:styleId="145">
    <w:name w:val=" Char2"/>
    <w:basedOn w:val="1"/>
    <w:qFormat/>
    <w:uiPriority w:val="0"/>
    <w:rPr>
      <w:rFonts w:ascii="HYg2gj" w:hAnsi="HYg2gj"/>
      <w:sz w:val="24"/>
      <w:szCs w:val="20"/>
    </w:rPr>
  </w:style>
  <w:style w:type="paragraph" w:customStyle="1" w:styleId="146">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147">
    <w:name w:val="Char2"/>
    <w:basedOn w:val="1"/>
    <w:qFormat/>
    <w:uiPriority w:val="0"/>
    <w:rPr>
      <w:rFonts w:ascii="HYg2gj" w:hAnsi="HYg2gj"/>
      <w:sz w:val="24"/>
      <w:szCs w:val="20"/>
    </w:rPr>
  </w:style>
  <w:style w:type="paragraph" w:customStyle="1" w:styleId="148">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49">
    <w:name w:val="正文0"/>
    <w:basedOn w:val="1"/>
    <w:qFormat/>
    <w:uiPriority w:val="0"/>
    <w:pPr>
      <w:autoSpaceDE w:val="0"/>
      <w:autoSpaceDN w:val="0"/>
      <w:adjustRightInd w:val="0"/>
      <w:spacing w:before="240" w:beforeLines="0" w:after="60" w:afterLines="0" w:line="360" w:lineRule="atLeast"/>
    </w:pPr>
    <w:rPr>
      <w:b/>
      <w:kern w:val="0"/>
      <w:sz w:val="24"/>
      <w:szCs w:val="20"/>
    </w:rPr>
  </w:style>
  <w:style w:type="paragraph" w:customStyle="1" w:styleId="15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51">
    <w:name w:val="Char Char10"/>
    <w:basedOn w:val="14"/>
    <w:qFormat/>
    <w:uiPriority w:val="0"/>
    <w:rPr>
      <w:rFonts w:ascii="Tahoma" w:hAnsi="Tahoma" w:eastAsia="Times New Roman"/>
      <w:kern w:val="0"/>
      <w:sz w:val="24"/>
      <w:szCs w:val="20"/>
    </w:rPr>
  </w:style>
  <w:style w:type="paragraph" w:customStyle="1" w:styleId="15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153">
    <w:name w:val="我的正文"/>
    <w:basedOn w:val="1"/>
    <w:qFormat/>
    <w:uiPriority w:val="0"/>
    <w:pPr>
      <w:spacing w:line="400" w:lineRule="exact"/>
      <w:ind w:firstLine="200" w:firstLineChars="200"/>
    </w:pPr>
    <w:rPr>
      <w:rFonts w:ascii="Dotum" w:hAnsi="Dotum" w:cs="HYg2gj"/>
      <w:sz w:val="24"/>
      <w:szCs w:val="20"/>
    </w:rPr>
  </w:style>
  <w:style w:type="paragraph" w:customStyle="1" w:styleId="154">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155">
    <w:name w:val=" Char"/>
    <w:basedOn w:val="1"/>
    <w:qFormat/>
    <w:uiPriority w:val="0"/>
    <w:pPr>
      <w:widowControl/>
      <w:spacing w:after="160" w:afterLines="0" w:line="240" w:lineRule="exact"/>
      <w:jc w:val="left"/>
    </w:pPr>
    <w:rPr>
      <w:rFonts w:ascii="HYg2gj" w:hAnsi="HYg2gj"/>
      <w:kern w:val="0"/>
      <w:sz w:val="24"/>
      <w:lang w:eastAsia="en-US"/>
    </w:rPr>
  </w:style>
  <w:style w:type="paragraph" w:customStyle="1" w:styleId="156">
    <w:name w:val="Char2 Char Char Char Char Char Char Char Char Char Char Char Char"/>
    <w:basedOn w:val="1"/>
    <w:qFormat/>
    <w:uiPriority w:val="0"/>
    <w:pPr>
      <w:spacing w:line="360" w:lineRule="auto"/>
      <w:ind w:firstLine="200" w:firstLineChars="200"/>
    </w:pPr>
    <w:rPr>
      <w:rFonts w:ascii="HYg2gj" w:hAnsi="HYg2gj"/>
      <w:sz w:val="24"/>
    </w:rPr>
  </w:style>
  <w:style w:type="paragraph" w:customStyle="1" w:styleId="157">
    <w:name w:val="1"/>
    <w:basedOn w:val="1"/>
    <w:qFormat/>
    <w:uiPriority w:val="0"/>
    <w:rPr>
      <w:rFonts w:ascii="Tahoma" w:hAnsi="Tahoma"/>
      <w:sz w:val="24"/>
      <w:szCs w:val="20"/>
    </w:rPr>
  </w:style>
  <w:style w:type="paragraph" w:customStyle="1" w:styleId="158">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159">
    <w:name w:val=" Char1 Char Char Char Char Char Char"/>
    <w:basedOn w:val="1"/>
    <w:qFormat/>
    <w:uiPriority w:val="0"/>
    <w:rPr>
      <w:rFonts w:ascii="HYg2gj" w:hAnsi="HYg2gj"/>
      <w:sz w:val="24"/>
      <w:szCs w:val="20"/>
    </w:rPr>
  </w:style>
  <w:style w:type="paragraph" w:customStyle="1" w:styleId="160">
    <w:name w:val="正文_12_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 Char Char Char Char Char Char Char Char Char"/>
    <w:basedOn w:val="1"/>
    <w:qFormat/>
    <w:uiPriority w:val="0"/>
    <w:pPr>
      <w:widowControl/>
      <w:spacing w:after="160" w:afterLines="0" w:line="240" w:lineRule="exact"/>
      <w:jc w:val="left"/>
    </w:pPr>
    <w:rPr>
      <w:szCs w:val="20"/>
    </w:rPr>
  </w:style>
  <w:style w:type="paragraph" w:customStyle="1" w:styleId="162">
    <w:name w:val="样式4"/>
    <w:basedOn w:val="1"/>
    <w:qFormat/>
    <w:uiPriority w:val="0"/>
    <w:pPr>
      <w:spacing w:before="100" w:beforeAutospacing="1" w:after="100" w:afterAutospacing="1"/>
      <w:jc w:val="center"/>
    </w:pPr>
    <w:rPr>
      <w:rFonts w:ascii="宋体" w:hAnsi="宋体"/>
      <w:szCs w:val="21"/>
    </w:rPr>
  </w:style>
  <w:style w:type="paragraph" w:customStyle="1" w:styleId="163">
    <w:name w:val="表格"/>
    <w:basedOn w:val="1"/>
    <w:qFormat/>
    <w:uiPriority w:val="0"/>
    <w:pPr>
      <w:keepNext/>
      <w:keepLines/>
      <w:adjustRightInd w:val="0"/>
      <w:spacing w:line="240" w:lineRule="atLeast"/>
      <w:jc w:val="center"/>
      <w:textAlignment w:val="baseline"/>
    </w:pPr>
    <w:rPr>
      <w:rFonts w:ascii="宋体" w:hAnsi="Times New Roman"/>
      <w:kern w:val="0"/>
      <w:sz w:val="24"/>
      <w:szCs w:val="20"/>
    </w:rPr>
  </w:style>
  <w:style w:type="paragraph" w:customStyle="1" w:styleId="164">
    <w:name w:val=" Char4"/>
    <w:basedOn w:val="1"/>
    <w:qFormat/>
    <w:uiPriority w:val="0"/>
    <w:rPr>
      <w:rFonts w:ascii="Dotum" w:hAnsi="Dotum" w:cs="HYg2gj"/>
      <w:sz w:val="24"/>
      <w:szCs w:val="20"/>
    </w:rPr>
  </w:style>
  <w:style w:type="paragraph" w:customStyle="1" w:styleId="165">
    <w:name w:val=" Char2 Char Char Char"/>
    <w:basedOn w:val="1"/>
    <w:qFormat/>
    <w:uiPriority w:val="0"/>
    <w:rPr>
      <w:rFonts w:ascii="Tahoma" w:hAnsi="Tahoma"/>
      <w:sz w:val="24"/>
      <w:szCs w:val="20"/>
    </w:rPr>
  </w:style>
  <w:style w:type="paragraph" w:customStyle="1" w:styleId="166">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Arial Narrow" w:hAnsi="Arial Narrow"/>
      <w:kern w:val="0"/>
      <w:szCs w:val="21"/>
    </w:rPr>
  </w:style>
  <w:style w:type="paragraph" w:customStyle="1" w:styleId="167">
    <w:name w:val="Char1"/>
    <w:basedOn w:val="1"/>
    <w:qFormat/>
    <w:uiPriority w:val="0"/>
    <w:rPr>
      <w:rFonts w:ascii="HYg2gj" w:hAnsi="HYg2gj"/>
      <w:sz w:val="24"/>
      <w:szCs w:val="20"/>
    </w:rPr>
  </w:style>
  <w:style w:type="character" w:customStyle="1" w:styleId="168">
    <w:name w:val=" Char Char10"/>
    <w:qFormat/>
    <w:uiPriority w:val="0"/>
    <w:rPr>
      <w:rFonts w:eastAsia="宋体"/>
      <w:kern w:val="2"/>
      <w:sz w:val="21"/>
      <w:lang w:val="en-US" w:eastAsia="zh-CN" w:bidi="ar-SA"/>
    </w:rPr>
  </w:style>
  <w:style w:type="character" w:customStyle="1" w:styleId="169">
    <w:name w:val="纯文本 Char"/>
    <w:link w:val="22"/>
    <w:qFormat/>
    <w:uiPriority w:val="0"/>
    <w:rPr>
      <w:rFonts w:ascii="Arial Narrow" w:hAnsi="Times New Roman" w:eastAsia="Arial Narrow"/>
      <w:kern w:val="2"/>
      <w:sz w:val="21"/>
      <w:lang w:val="en-US" w:eastAsia="zh-CN" w:bidi="ar-SA"/>
    </w:rPr>
  </w:style>
  <w:style w:type="character" w:customStyle="1" w:styleId="170">
    <w:name w:val="p121"/>
    <w:qFormat/>
    <w:uiPriority w:val="0"/>
    <w:rPr>
      <w:rFonts w:hint="default" w:ascii="HYg2gj" w:hAnsi="HYg2gj"/>
      <w:sz w:val="18"/>
      <w:szCs w:val="18"/>
    </w:rPr>
  </w:style>
  <w:style w:type="character" w:customStyle="1" w:styleId="171">
    <w:name w:val=" Char Char4"/>
    <w:qFormat/>
    <w:uiPriority w:val="0"/>
    <w:rPr>
      <w:rFonts w:ascii="宋体" w:hAnsi="Courier New" w:eastAsia="宋体"/>
      <w:kern w:val="2"/>
      <w:sz w:val="21"/>
      <w:lang w:val="en-US" w:eastAsia="zh-CN" w:bidi="ar-SA"/>
    </w:rPr>
  </w:style>
  <w:style w:type="character" w:customStyle="1" w:styleId="172">
    <w:name w:val="正文（首行缩进两字） Char1"/>
    <w:qFormat/>
    <w:uiPriority w:val="0"/>
    <w:rPr>
      <w:rFonts w:eastAsia="宋体"/>
      <w:kern w:val="2"/>
      <w:sz w:val="21"/>
      <w:lang w:val="en-US" w:eastAsia="zh-CN" w:bidi="ar-SA"/>
    </w:rPr>
  </w:style>
  <w:style w:type="character" w:customStyle="1" w:styleId="173">
    <w:name w:val="标题 5 Char"/>
    <w:link w:val="8"/>
    <w:qFormat/>
    <w:uiPriority w:val="0"/>
    <w:rPr>
      <w:rFonts w:ascii="黑体" w:hAnsi="黑体" w:eastAsia="Arial Narrow"/>
      <w:b/>
      <w:kern w:val="2"/>
      <w:sz w:val="28"/>
      <w:szCs w:val="24"/>
      <w:lang w:val="en-US" w:eastAsia="zh-CN" w:bidi="ar-SA"/>
    </w:rPr>
  </w:style>
  <w:style w:type="character" w:customStyle="1" w:styleId="174">
    <w:name w:val=" Char Char12"/>
    <w:qFormat/>
    <w:uiPriority w:val="0"/>
    <w:rPr>
      <w:kern w:val="2"/>
      <w:sz w:val="21"/>
    </w:rPr>
  </w:style>
  <w:style w:type="character" w:customStyle="1" w:styleId="175">
    <w:name w:val="普通文字 Char Char"/>
    <w:qFormat/>
    <w:uiPriority w:val="0"/>
    <w:rPr>
      <w:rFonts w:ascii="Arial Narrow" w:hAnsi="Times New Roman" w:eastAsia="Arial Narrow"/>
      <w:kern w:val="2"/>
      <w:sz w:val="21"/>
      <w:lang w:val="en-US" w:eastAsia="zh-CN" w:bidi="ar-SA"/>
    </w:rPr>
  </w:style>
  <w:style w:type="character" w:customStyle="1" w:styleId="176">
    <w:name w:val="正文文本缩进 字符1"/>
    <w:semiHidden/>
    <w:qFormat/>
    <w:locked/>
    <w:uiPriority w:val="0"/>
    <w:rPr>
      <w:rFonts w:ascii="Arial Narrow" w:hAnsi="Arial Narrow"/>
      <w:kern w:val="2"/>
      <w:sz w:val="24"/>
      <w:szCs w:val="21"/>
    </w:rPr>
  </w:style>
  <w:style w:type="character" w:customStyle="1" w:styleId="177">
    <w:name w:val="content"/>
    <w:qFormat/>
    <w:uiPriority w:val="0"/>
    <w:rPr>
      <w:color w:val="000000"/>
      <w:sz w:val="21"/>
      <w:szCs w:val="21"/>
    </w:rPr>
  </w:style>
  <w:style w:type="character" w:customStyle="1" w:styleId="178">
    <w:name w:val="标题 2 Char"/>
    <w:link w:val="4"/>
    <w:qFormat/>
    <w:uiPriority w:val="0"/>
    <w:rPr>
      <w:rFonts w:ascii="Arial Black" w:hAnsi="Arial Black" w:eastAsia="Arial Narrow"/>
      <w:b/>
      <w:kern w:val="2"/>
      <w:sz w:val="30"/>
      <w:szCs w:val="24"/>
      <w:lang w:val="en-US" w:eastAsia="zh-CN" w:bidi="ar-SA"/>
    </w:rPr>
  </w:style>
  <w:style w:type="character" w:customStyle="1" w:styleId="179">
    <w:name w:val="title-text"/>
    <w:qFormat/>
    <w:uiPriority w:val="0"/>
  </w:style>
  <w:style w:type="character" w:customStyle="1" w:styleId="180">
    <w:name w:val="图片 Char"/>
    <w:link w:val="73"/>
    <w:qFormat/>
    <w:uiPriority w:val="0"/>
    <w:rPr>
      <w:kern w:val="2"/>
      <w:sz w:val="24"/>
      <w:lang w:bidi="ar-SA"/>
    </w:rPr>
  </w:style>
  <w:style w:type="character" w:customStyle="1" w:styleId="181">
    <w:name w:val="正文样式 Char"/>
    <w:link w:val="70"/>
    <w:qFormat/>
    <w:uiPriority w:val="0"/>
    <w:rPr>
      <w:rFonts w:ascii="Calibri" w:hAnsi="Calibri"/>
      <w:kern w:val="2"/>
      <w:sz w:val="28"/>
      <w:szCs w:val="21"/>
      <w:lang w:bidi="ar-SA"/>
    </w:rPr>
  </w:style>
  <w:style w:type="character" w:customStyle="1" w:styleId="182">
    <w:name w:val="正文文本 Char"/>
    <w:link w:val="18"/>
    <w:qFormat/>
    <w:uiPriority w:val="0"/>
    <w:rPr>
      <w:rFonts w:ascii="黑体" w:hAnsi="黑体" w:eastAsia="宋体"/>
      <w:kern w:val="2"/>
      <w:sz w:val="21"/>
      <w:szCs w:val="24"/>
      <w:lang w:val="en-US" w:eastAsia="zh-CN" w:bidi="ar-SA"/>
    </w:rPr>
  </w:style>
  <w:style w:type="character" w:customStyle="1" w:styleId="183">
    <w:name w:val="long_text1"/>
    <w:qFormat/>
    <w:uiPriority w:val="0"/>
    <w:rPr>
      <w:sz w:val="20"/>
      <w:szCs w:val="20"/>
    </w:rPr>
  </w:style>
  <w:style w:type="character" w:customStyle="1" w:styleId="184">
    <w:name w:val="text11"/>
    <w:qFormat/>
    <w:uiPriority w:val="0"/>
    <w:rPr>
      <w:rFonts w:hint="default" w:ascii="Dotum" w:hAnsi="Dotum"/>
      <w:color w:val="4E4E4E"/>
      <w:sz w:val="18"/>
      <w:szCs w:val="18"/>
    </w:rPr>
  </w:style>
  <w:style w:type="character" w:customStyle="1" w:styleId="185">
    <w:name w:val="称呼 Char"/>
    <w:link w:val="16"/>
    <w:qFormat/>
    <w:uiPriority w:val="0"/>
    <w:rPr>
      <w:rFonts w:ascii="Arial Narrow" w:eastAsia="Arial Narrow"/>
      <w:sz w:val="24"/>
      <w:lang w:val="en-US" w:eastAsia="zh-CN" w:bidi="ar-SA"/>
    </w:rPr>
  </w:style>
  <w:style w:type="character" w:customStyle="1" w:styleId="186">
    <w:name w:val="批注文字 Char"/>
    <w:link w:val="15"/>
    <w:qFormat/>
    <w:locked/>
    <w:uiPriority w:val="0"/>
    <w:rPr>
      <w:rFonts w:ascii="黑体" w:hAnsi="黑体" w:eastAsia="宋体"/>
      <w:kern w:val="2"/>
      <w:sz w:val="21"/>
      <w:szCs w:val="24"/>
      <w:lang w:val="en-US" w:eastAsia="zh-CN" w:bidi="ar-SA"/>
    </w:rPr>
  </w:style>
  <w:style w:type="character" w:customStyle="1" w:styleId="187">
    <w:name w:val="正文文本缩进 Char"/>
    <w:link w:val="19"/>
    <w:qFormat/>
    <w:uiPriority w:val="0"/>
    <w:rPr>
      <w:rFonts w:ascii="Arial Narrow" w:hAnsi="Arial Narrow" w:eastAsia="宋体"/>
      <w:kern w:val="2"/>
      <w:sz w:val="24"/>
      <w:szCs w:val="21"/>
      <w:lang w:val="en-US" w:eastAsia="zh-CN" w:bidi="ar-SA"/>
    </w:rPr>
  </w:style>
  <w:style w:type="character" w:customStyle="1" w:styleId="188">
    <w:name w:val="正文缩进 Char"/>
    <w:link w:val="5"/>
    <w:qFormat/>
    <w:uiPriority w:val="0"/>
    <w:rPr>
      <w:rFonts w:eastAsia="Arial Narrow"/>
      <w:kern w:val="2"/>
      <w:sz w:val="21"/>
      <w:lang w:val="en-US" w:eastAsia="zh-CN" w:bidi="ar-SA"/>
    </w:rPr>
  </w:style>
  <w:style w:type="character" w:customStyle="1" w:styleId="189">
    <w:name w:val="列出段落 Char"/>
    <w:link w:val="79"/>
    <w:qFormat/>
    <w:uiPriority w:val="34"/>
    <w:rPr>
      <w:rFonts w:ascii="Calibri" w:hAnsi="Calibri" w:eastAsia="宋体"/>
      <w:kern w:val="2"/>
      <w:sz w:val="21"/>
      <w:szCs w:val="22"/>
      <w:lang w:val="en-US" w:eastAsia="zh-CN" w:bidi="ar-SA"/>
    </w:rPr>
  </w:style>
  <w:style w:type="character" w:customStyle="1" w:styleId="190">
    <w:name w:val="手改 Char Char"/>
    <w:qFormat/>
    <w:uiPriority w:val="0"/>
    <w:rPr>
      <w:rFonts w:ascii="黑体" w:hAnsi="黑体" w:eastAsia="宋体"/>
      <w:kern w:val="2"/>
      <w:sz w:val="21"/>
      <w:szCs w:val="24"/>
      <w:lang w:val="en-US" w:eastAsia="zh-CN" w:bidi="ar-SA"/>
    </w:rPr>
  </w:style>
  <w:style w:type="character" w:customStyle="1" w:styleId="191">
    <w:name w:val="page number"/>
    <w:basedOn w:val="42"/>
    <w:qFormat/>
    <w:uiPriority w:val="0"/>
  </w:style>
  <w:style w:type="character" w:customStyle="1" w:styleId="192">
    <w:name w:val="页眉 Char"/>
    <w:link w:val="27"/>
    <w:qFormat/>
    <w:uiPriority w:val="0"/>
    <w:rPr>
      <w:rFonts w:eastAsia="Arial Narrow"/>
      <w:kern w:val="2"/>
      <w:sz w:val="18"/>
      <w:szCs w:val="18"/>
      <w:lang w:val="en-US" w:eastAsia="zh-CN" w:bidi="ar-SA"/>
    </w:rPr>
  </w:style>
  <w:style w:type="character" w:customStyle="1" w:styleId="193">
    <w:name w:val="apple-converted-space"/>
    <w:basedOn w:val="42"/>
    <w:qFormat/>
    <w:uiPriority w:val="0"/>
  </w:style>
  <w:style w:type="character" w:customStyle="1" w:styleId="194">
    <w:name w:val="h141"/>
    <w:qFormat/>
    <w:uiPriority w:val="0"/>
    <w:rPr>
      <w:color w:val="262626"/>
      <w:sz w:val="21"/>
      <w:szCs w:val="21"/>
    </w:rPr>
  </w:style>
  <w:style w:type="character" w:customStyle="1" w:styleId="195">
    <w:name w:val="批注文字 字符"/>
    <w:qFormat/>
    <w:locked/>
    <w:uiPriority w:val="0"/>
  </w:style>
  <w:style w:type="character" w:customStyle="1" w:styleId="196">
    <w:name w:val="rili11"/>
    <w:qFormat/>
    <w:uiPriority w:val="0"/>
    <w:rPr>
      <w:sz w:val="21"/>
      <w:szCs w:val="21"/>
    </w:rPr>
  </w:style>
  <w:style w:type="character" w:customStyle="1" w:styleId="197">
    <w:name w:val="Comment Text Char"/>
    <w:qFormat/>
    <w:locked/>
    <w:uiPriority w:val="0"/>
    <w:rPr>
      <w:rFonts w:ascii="黑体" w:hAnsi="黑体" w:eastAsia="宋体"/>
      <w:kern w:val="2"/>
      <w:sz w:val="21"/>
      <w:szCs w:val="24"/>
      <w:lang w:val="en-US" w:eastAsia="zh-CN" w:bidi="ar-SA"/>
    </w:rPr>
  </w:style>
  <w:style w:type="character" w:customStyle="1" w:styleId="198">
    <w:name w:val="样式3 Char"/>
    <w:link w:val="93"/>
    <w:qFormat/>
    <w:uiPriority w:val="0"/>
    <w:rPr>
      <w:rFonts w:ascii="Arial Narrow" w:eastAsia="Arial Narrow"/>
      <w:kern w:val="2"/>
      <w:sz w:val="28"/>
      <w:lang w:val="en-US" w:eastAsia="zh-CN" w:bidi="ar-SA"/>
    </w:rPr>
  </w:style>
  <w:style w:type="character" w:customStyle="1" w:styleId="199">
    <w:name w:val="日期 Char"/>
    <w:link w:val="24"/>
    <w:qFormat/>
    <w:uiPriority w:val="0"/>
    <w:rPr>
      <w:rFonts w:ascii="Arial Narrow" w:hAnsi="Arial Narrow" w:eastAsia="Arial Narrow"/>
      <w:kern w:val="2"/>
      <w:sz w:val="24"/>
      <w:szCs w:val="21"/>
      <w:lang w:val="en-US" w:eastAsia="zh-CN" w:bidi="ar-SA"/>
    </w:rPr>
  </w:style>
  <w:style w:type="character" w:customStyle="1" w:styleId="200">
    <w:name w:val="b11"/>
    <w:basedOn w:val="42"/>
    <w:qFormat/>
    <w:uiPriority w:val="0"/>
  </w:style>
  <w:style w:type="paragraph" w:customStyle="1" w:styleId="201">
    <w:name w:val="正文文本_0"/>
    <w:basedOn w:val="202"/>
    <w:unhideWhenUsed/>
    <w:qFormat/>
    <w:uiPriority w:val="0"/>
    <w:rPr>
      <w:rFonts w:ascii="Calibri" w:hAnsi="Calibri"/>
      <w:szCs w:val="21"/>
    </w:rPr>
  </w:style>
  <w:style w:type="paragraph" w:customStyle="1" w:styleId="202">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3">
    <w:name w:val="标题 3_0"/>
    <w:basedOn w:val="204"/>
    <w:next w:val="204"/>
    <w:unhideWhenUsed/>
    <w:qFormat/>
    <w:uiPriority w:val="0"/>
    <w:pPr>
      <w:keepNext/>
      <w:keepLines/>
      <w:adjustRightInd w:val="0"/>
      <w:spacing w:before="260" w:after="260" w:line="416" w:lineRule="atLeast"/>
      <w:outlineLvl w:val="2"/>
    </w:pPr>
    <w:rPr>
      <w:rFonts w:ascii="Calibri" w:hAnsi="Calibri"/>
      <w:b/>
      <w:bCs/>
      <w:sz w:val="32"/>
      <w:szCs w:val="32"/>
    </w:rPr>
  </w:style>
  <w:style w:type="paragraph" w:customStyle="1" w:styleId="204">
    <w:name w:val="正文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5">
    <w:name w:val="正文文本_0_0"/>
    <w:basedOn w:val="204"/>
    <w:unhideWhenUsed/>
    <w:qFormat/>
    <w:uiPriority w:val="0"/>
    <w:rPr>
      <w:rFonts w:ascii="Calibri" w:hAnsi="Calibri"/>
      <w:szCs w:val="21"/>
    </w:rPr>
  </w:style>
  <w:style w:type="paragraph" w:customStyle="1" w:styleId="206">
    <w:name w:val="标题 3_1"/>
    <w:basedOn w:val="202"/>
    <w:next w:val="202"/>
    <w:unhideWhenUsed/>
    <w:qFormat/>
    <w:uiPriority w:val="0"/>
    <w:pPr>
      <w:keepNext/>
      <w:keepLines/>
      <w:adjustRightInd w:val="0"/>
      <w:spacing w:before="260" w:after="260" w:line="416" w:lineRule="atLeast"/>
      <w:outlineLvl w:val="2"/>
    </w:pPr>
    <w:rPr>
      <w:rFonts w:ascii="Calibri" w:hAnsi="Calibri"/>
      <w:b/>
      <w:bCs/>
      <w:sz w:val="32"/>
      <w:szCs w:val="32"/>
    </w:rPr>
  </w:style>
  <w:style w:type="paragraph" w:customStyle="1" w:styleId="207">
    <w:name w:val="标题 4_0"/>
    <w:basedOn w:val="202"/>
    <w:next w:val="202"/>
    <w:unhideWhenUsed/>
    <w:qFormat/>
    <w:uiPriority w:val="0"/>
    <w:pPr>
      <w:keepNext/>
      <w:keepLines/>
      <w:spacing w:before="280" w:after="290" w:line="374" w:lineRule="auto"/>
      <w:outlineLvl w:val="3"/>
    </w:pPr>
    <w:rPr>
      <w:rFonts w:ascii="Cambria" w:hAnsi="Cambria"/>
      <w:b/>
      <w:bCs/>
      <w:sz w:val="28"/>
      <w:szCs w:val="28"/>
    </w:rPr>
  </w:style>
  <w:style w:type="paragraph" w:customStyle="1" w:styleId="208">
    <w:name w:val="Normal_2"/>
    <w:qFormat/>
    <w:uiPriority w:val="0"/>
    <w:rPr>
      <w:rFonts w:ascii="黑体" w:hAnsi="黑体" w:eastAsia="黑体" w:cs="Times New Roman"/>
      <w:b/>
      <w:sz w:val="32"/>
      <w:szCs w:val="24"/>
      <w:lang w:bidi="ar-SA"/>
    </w:rPr>
  </w:style>
  <w:style w:type="paragraph" w:customStyle="1" w:styleId="209">
    <w:name w:val="正文文本_0_1"/>
    <w:basedOn w:val="210"/>
    <w:qFormat/>
    <w:uiPriority w:val="0"/>
    <w:pPr>
      <w:autoSpaceDE w:val="0"/>
      <w:autoSpaceDN w:val="0"/>
      <w:jc w:val="left"/>
    </w:pPr>
    <w:rPr>
      <w:rFonts w:ascii="宋体" w:hAnsi="Times New Roman" w:eastAsia="宋体" w:cs="宋体"/>
      <w:kern w:val="0"/>
      <w:szCs w:val="21"/>
      <w:lang w:val="zh-CN" w:bidi="zh-CN"/>
    </w:rPr>
  </w:style>
  <w:style w:type="paragraph" w:customStyle="1" w:styleId="210">
    <w:name w:val="正文_0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1">
    <w:name w:val="CM99_1"/>
    <w:basedOn w:val="212"/>
    <w:next w:val="212"/>
    <w:qFormat/>
    <w:uiPriority w:val="0"/>
    <w:pPr>
      <w:spacing w:after="443"/>
    </w:pPr>
    <w:rPr>
      <w:rFonts w:ascii="Calibri" w:hAnsi="Calibri" w:eastAsia="宋体"/>
      <w:color w:val="auto"/>
    </w:rPr>
  </w:style>
  <w:style w:type="paragraph" w:customStyle="1" w:styleId="212">
    <w:name w:val="Default_1"/>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13">
    <w:name w:val="正文缩进_0"/>
    <w:basedOn w:val="210"/>
    <w:qFormat/>
    <w:uiPriority w:val="0"/>
    <w:pPr>
      <w:adjustRightInd w:val="0"/>
      <w:spacing w:line="360" w:lineRule="atLeast"/>
      <w:ind w:firstLine="420"/>
      <w:textAlignment w:val="baseline"/>
    </w:pPr>
    <w:rPr>
      <w:rFonts w:ascii="Times New Roman" w:hAnsi="Times New Roman" w:eastAsia="宋体"/>
      <w:szCs w:val="20"/>
    </w:rPr>
  </w:style>
  <w:style w:type="paragraph" w:customStyle="1" w:styleId="214">
    <w:name w:val="正文文本_6"/>
    <w:basedOn w:val="215"/>
    <w:qFormat/>
    <w:uiPriority w:val="0"/>
    <w:rPr>
      <w:rFonts w:ascii="Calibri" w:hAnsi="Calibri" w:eastAsia="宋体"/>
      <w:sz w:val="21"/>
      <w:szCs w:val="21"/>
    </w:rPr>
  </w:style>
  <w:style w:type="paragraph" w:customStyle="1" w:styleId="215">
    <w:name w:val="正文_6"/>
    <w:qFormat/>
    <w:uiPriority w:val="0"/>
    <w:pPr>
      <w:widowControl w:val="0"/>
      <w:autoSpaceDE w:val="0"/>
      <w:autoSpaceDN w:val="0"/>
    </w:pPr>
    <w:rPr>
      <w:rFonts w:ascii="宋体" w:hAnsi="Times New Roman" w:eastAsia="宋体" w:cs="宋体"/>
      <w:sz w:val="22"/>
      <w:szCs w:val="22"/>
      <w:lang w:val="zh-CN" w:eastAsia="zh-CN" w:bidi="zh-CN"/>
    </w:rPr>
  </w:style>
  <w:style w:type="paragraph" w:customStyle="1" w:styleId="216">
    <w:name w:val="正文 A_0"/>
    <w:qFormat/>
    <w:uiPriority w:val="0"/>
    <w:pPr>
      <w:widowControl w:val="0"/>
      <w:jc w:val="both"/>
    </w:pPr>
    <w:rPr>
      <w:rFonts w:ascii="Arial Unicode MS" w:hAnsi="Times New Roman" w:eastAsia="Arial Unicode MS" w:cs="Arial Unicode MS"/>
      <w:color w:val="000000"/>
      <w:kern w:val="2"/>
      <w:sz w:val="32"/>
      <w:szCs w:val="32"/>
      <w:lang w:val="en-US" w:eastAsia="zh-CN" w:bidi="ar-SA"/>
    </w:rPr>
  </w:style>
  <w:style w:type="paragraph" w:customStyle="1" w:styleId="217">
    <w:name w:val="Normal_11"/>
    <w:qFormat/>
    <w:uiPriority w:val="0"/>
    <w:rPr>
      <w:rFonts w:ascii="Times New Roman" w:hAnsi="Times New Roman" w:eastAsia="Times New Roman" w:cs="Times New Roman"/>
      <w:sz w:val="24"/>
      <w:szCs w:val="24"/>
      <w:lang w:bidi="ar-SA"/>
    </w:rPr>
  </w:style>
  <w:style w:type="paragraph" w:customStyle="1" w:styleId="218">
    <w:name w:val="正文文本_7"/>
    <w:basedOn w:val="219"/>
    <w:qFormat/>
    <w:uiPriority w:val="0"/>
    <w:rPr>
      <w:rFonts w:ascii="Calibri" w:hAnsi="Calibri" w:eastAsia="宋体"/>
      <w:sz w:val="21"/>
      <w:szCs w:val="21"/>
    </w:rPr>
  </w:style>
  <w:style w:type="paragraph" w:customStyle="1" w:styleId="219">
    <w:name w:val="正文_7"/>
    <w:qFormat/>
    <w:uiPriority w:val="0"/>
    <w:pPr>
      <w:widowControl w:val="0"/>
      <w:autoSpaceDE w:val="0"/>
      <w:autoSpaceDN w:val="0"/>
    </w:pPr>
    <w:rPr>
      <w:rFonts w:ascii="宋体" w:hAnsi="Times New Roman" w:eastAsia="宋体" w:cs="宋体"/>
      <w:sz w:val="22"/>
      <w:szCs w:val="22"/>
      <w:lang w:val="zh-CN" w:eastAsia="zh-CN" w:bidi="zh-CN"/>
    </w:rPr>
  </w:style>
  <w:style w:type="paragraph" w:customStyle="1" w:styleId="220">
    <w:name w:val="正文缩进_3"/>
    <w:basedOn w:val="219"/>
    <w:qFormat/>
    <w:uiPriority w:val="0"/>
    <w:pPr>
      <w:autoSpaceDE/>
      <w:autoSpaceDN/>
      <w:adjustRightInd w:val="0"/>
      <w:spacing w:line="360" w:lineRule="atLeast"/>
      <w:ind w:firstLine="420"/>
      <w:jc w:val="both"/>
      <w:textAlignment w:val="baseline"/>
    </w:pPr>
    <w:rPr>
      <w:rFonts w:ascii="Times New Roman" w:hAnsi="Calibri" w:eastAsia="宋体" w:cs="Times New Roman"/>
      <w:kern w:val="2"/>
      <w:sz w:val="21"/>
      <w:szCs w:val="20"/>
      <w:lang w:bidi="ar-SA"/>
    </w:rPr>
  </w:style>
  <w:style w:type="paragraph" w:customStyle="1" w:styleId="221">
    <w:name w:val="标准"/>
    <w:basedOn w:val="1"/>
    <w:qFormat/>
    <w:uiPriority w:val="0"/>
    <w:pPr>
      <w:tabs>
        <w:tab w:val="left" w:pos="3240"/>
      </w:tabs>
      <w:autoSpaceDE w:val="0"/>
      <w:autoSpaceDN w:val="0"/>
      <w:adjustRightInd w:val="0"/>
      <w:snapToGrid w:val="0"/>
      <w:spacing w:line="312" w:lineRule="atLeast"/>
      <w:ind w:left="-117" w:right="11" w:firstLine="480" w:firstLineChars="200"/>
      <w:textAlignment w:val="baseline"/>
    </w:pPr>
    <w:rPr>
      <w:rFonts w:ascii="宋体" w:eastAsia="仿宋_GB2312"/>
      <w:color w:val="000000"/>
      <w:kern w:val="0"/>
      <w:sz w:val="24"/>
      <w:szCs w:val="20"/>
    </w:rPr>
  </w:style>
  <w:style w:type="character" w:customStyle="1" w:styleId="222">
    <w:name w:val="active"/>
    <w:basedOn w:val="42"/>
    <w:qFormat/>
    <w:uiPriority w:val="0"/>
    <w:rPr>
      <w:shd w:val="clear" w:fill="EC3535"/>
    </w:rPr>
  </w:style>
  <w:style w:type="paragraph" w:customStyle="1" w:styleId="223">
    <w:name w:val="*正文"/>
    <w:basedOn w:val="1"/>
    <w:qFormat/>
    <w:uiPriority w:val="0"/>
    <w:pPr>
      <w:spacing w:line="300" w:lineRule="auto"/>
      <w:ind w:firstLine="480" w:firstLineChars="200"/>
    </w:pPr>
    <w:rPr>
      <w:rFonts w:ascii="宋体" w:hAnsi="宋体"/>
      <w:kern w:val="0"/>
      <w:sz w:val="24"/>
      <w:lang w:val="zh-CN"/>
    </w:rPr>
  </w:style>
  <w:style w:type="paragraph" w:customStyle="1" w:styleId="224">
    <w:name w:val="_Style 1"/>
    <w:basedOn w:val="1"/>
    <w:qFormat/>
    <w:uiPriority w:val="34"/>
    <w:pPr>
      <w:ind w:firstLine="420" w:firstLineChars="200"/>
    </w:pPr>
  </w:style>
  <w:style w:type="paragraph" w:customStyle="1" w:styleId="225">
    <w:name w:val="列出段落1"/>
    <w:basedOn w:val="1"/>
    <w:qFormat/>
    <w:uiPriority w:val="34"/>
    <w:pPr>
      <w:ind w:firstLine="420" w:firstLineChars="200"/>
    </w:pPr>
  </w:style>
  <w:style w:type="paragraph" w:customStyle="1" w:styleId="226">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7">
    <w:name w:val="列项——（一级）"/>
    <w:qFormat/>
    <w:uiPriority w:val="0"/>
    <w:pPr>
      <w:widowControl w:val="0"/>
      <w:numPr>
        <w:ilvl w:val="0"/>
        <w:numId w:val="1"/>
      </w:numPr>
      <w:jc w:val="both"/>
    </w:pPr>
    <w:rPr>
      <w:rFonts w:ascii="宋体" w:hAnsi="Times New Roman" w:eastAsia="宋体" w:cs="Times New Roman"/>
      <w:sz w:val="21"/>
      <w:lang w:val="en-US" w:eastAsia="zh-CN" w:bidi="ar-SA"/>
    </w:rPr>
  </w:style>
  <w:style w:type="paragraph" w:customStyle="1" w:styleId="228">
    <w:name w:val="二级条标题"/>
    <w:basedOn w:val="229"/>
    <w:next w:val="226"/>
    <w:qFormat/>
    <w:uiPriority w:val="0"/>
    <w:pPr>
      <w:numPr>
        <w:ilvl w:val="3"/>
        <w:numId w:val="2"/>
      </w:numPr>
      <w:outlineLvl w:val="3"/>
    </w:pPr>
  </w:style>
  <w:style w:type="paragraph" w:customStyle="1" w:styleId="229">
    <w:name w:val="一级条标题"/>
    <w:next w:val="226"/>
    <w:qFormat/>
    <w:uiPriority w:val="0"/>
    <w:pPr>
      <w:numPr>
        <w:ilvl w:val="2"/>
        <w:numId w:val="2"/>
      </w:numPr>
      <w:outlineLvl w:val="2"/>
    </w:pPr>
    <w:rPr>
      <w:rFonts w:ascii="Times New Roman" w:hAnsi="Times New Roman" w:eastAsia="黑体" w:cs="Times New Roman"/>
      <w:sz w:val="21"/>
      <w:lang w:val="en-US" w:eastAsia="zh-CN" w:bidi="ar-SA"/>
    </w:rPr>
  </w:style>
  <w:style w:type="character" w:customStyle="1" w:styleId="230">
    <w:name w:val="font21"/>
    <w:basedOn w:val="42"/>
    <w:qFormat/>
    <w:uiPriority w:val="0"/>
    <w:rPr>
      <w:rFonts w:hint="eastAsia" w:ascii="仿宋" w:hAnsi="仿宋" w:eastAsia="仿宋" w:cs="仿宋"/>
      <w:color w:val="000000"/>
      <w:sz w:val="24"/>
      <w:szCs w:val="24"/>
      <w:u w:val="none"/>
    </w:rPr>
  </w:style>
  <w:style w:type="character" w:customStyle="1" w:styleId="231">
    <w:name w:val="font11"/>
    <w:basedOn w:val="42"/>
    <w:qFormat/>
    <w:uiPriority w:val="0"/>
    <w:rPr>
      <w:rFonts w:ascii="Calibri" w:hAnsi="Calibri" w:eastAsia="宋体" w:cs="Calibri"/>
      <w:color w:val="000000"/>
      <w:sz w:val="24"/>
      <w:szCs w:val="24"/>
      <w:u w:val="none"/>
    </w:rPr>
  </w:style>
  <w:style w:type="character" w:customStyle="1" w:styleId="232">
    <w:name w:val="font01"/>
    <w:basedOn w:val="42"/>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new</Company>
  <Pages>66</Pages>
  <Words>6342</Words>
  <Characters>36152</Characters>
  <Lines>301</Lines>
  <Paragraphs>84</Paragraphs>
  <TotalTime>8</TotalTime>
  <ScaleCrop>false</ScaleCrop>
  <LinksUpToDate>false</LinksUpToDate>
  <CharactersWithSpaces>42410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2016-10-25T13:12:00Z</dcterms:created>
  <dc:creator>use</dc:creator>
  <cp:lastModifiedBy>蓝</cp:lastModifiedBy>
  <cp:lastPrinted>2020-04-28T01:30:00Z</cp:lastPrinted>
  <dcterms:modified xsi:type="dcterms:W3CDTF">2020-04-29T14:29:01Z</dcterms:modified>
  <dc:title>投    标     书</dc:title>
  <cp:revision>212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